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99196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w:t>
      </w:r>
      <w:r w:rsidR="00A105CD">
        <w:rPr>
          <w:rFonts w:ascii="Arial" w:hAnsi="Arial" w:cs="Arial"/>
          <w:b/>
          <w:bCs/>
          <w:sz w:val="22"/>
          <w:lang w:val="en-GB"/>
        </w:rPr>
        <w:t>6</w:t>
      </w:r>
      <w:r w:rsidR="00A569A4" w:rsidRPr="00525CF4">
        <w:rPr>
          <w:rFonts w:ascii="Arial" w:hAnsi="Arial" w:cs="Arial"/>
          <w:b/>
          <w:bCs/>
          <w:sz w:val="22"/>
          <w:lang w:val="en-GB"/>
        </w:rPr>
        <w:t xml:space="preserve"> </w:t>
      </w:r>
      <w:r w:rsidR="00585079">
        <w:rPr>
          <w:rFonts w:ascii="Arial" w:hAnsi="Arial" w:cs="Arial"/>
          <w:b/>
          <w:bCs/>
          <w:sz w:val="22"/>
          <w:lang w:val="en-GB"/>
        </w:rPr>
        <w:t xml:space="preserve">                             </w:t>
      </w:r>
      <w:r>
        <w:rPr>
          <w:rFonts w:ascii="Arial" w:hAnsi="Arial" w:cs="Arial"/>
          <w:b/>
          <w:bCs/>
          <w:sz w:val="22"/>
          <w:lang w:val="en-GB"/>
        </w:rPr>
        <w:tab/>
      </w:r>
      <w:r>
        <w:rPr>
          <w:rFonts w:ascii="Arial" w:hAnsi="Arial" w:cs="Arial"/>
          <w:b/>
          <w:bCs/>
          <w:sz w:val="22"/>
          <w:lang w:val="en-GB"/>
        </w:rPr>
        <w:tab/>
      </w:r>
      <w:r w:rsidR="00B87244">
        <w:rPr>
          <w:rFonts w:ascii="Arial" w:hAnsi="Arial" w:cs="Arial"/>
          <w:b/>
          <w:bCs/>
          <w:sz w:val="22"/>
          <w:lang w:val="en-GB"/>
        </w:rPr>
        <w:t>R1-</w:t>
      </w:r>
      <w:r w:rsidR="00765BB9">
        <w:rPr>
          <w:rFonts w:ascii="Arial" w:hAnsi="Arial" w:cs="Arial" w:hint="eastAsia"/>
          <w:b/>
          <w:bCs/>
          <w:sz w:val="22"/>
          <w:lang w:val="en-GB"/>
        </w:rPr>
        <w:t>16</w:t>
      </w:r>
      <w:r w:rsidR="00054E54">
        <w:rPr>
          <w:rFonts w:ascii="Arial" w:hAnsi="Arial" w:cs="Arial"/>
          <w:b/>
          <w:bCs/>
          <w:sz w:val="22"/>
          <w:lang w:val="en-GB"/>
        </w:rPr>
        <w:t>6421</w:t>
      </w:r>
      <w:r w:rsidR="00A569A4" w:rsidRPr="00525CF4">
        <w:rPr>
          <w:rFonts w:ascii="Arial" w:hAnsi="Arial" w:cs="Arial" w:hint="eastAsia"/>
          <w:b/>
          <w:bCs/>
          <w:sz w:val="22"/>
          <w:lang w:val="en-GB"/>
        </w:rPr>
        <w:t xml:space="preserve"> </w:t>
      </w:r>
    </w:p>
    <w:p w:rsidR="00A569A4" w:rsidRPr="00525CF4" w:rsidRDefault="00197C9B" w:rsidP="00A569A4">
      <w:pPr>
        <w:widowControl w:val="0"/>
        <w:autoSpaceDE w:val="0"/>
        <w:autoSpaceDN w:val="0"/>
        <w:spacing w:after="240" w:line="240" w:lineRule="auto"/>
        <w:outlineLvl w:val="0"/>
        <w:rPr>
          <w:rFonts w:ascii="Arial" w:hAnsi="Arial" w:cs="Arial"/>
          <w:b/>
          <w:bCs/>
          <w:sz w:val="22"/>
          <w:lang w:val="en-GB"/>
        </w:rPr>
      </w:pPr>
      <w:bookmarkStart w:id="0" w:name="OLE_LINK2"/>
      <w:r>
        <w:rPr>
          <w:rFonts w:ascii="Arial" w:hAnsi="Arial" w:cs="Arial"/>
          <w:b/>
          <w:bCs/>
          <w:sz w:val="22"/>
          <w:lang w:val="en-GB"/>
        </w:rPr>
        <w:t>Gothenburg</w:t>
      </w:r>
      <w:r w:rsidR="00B87244">
        <w:rPr>
          <w:rFonts w:ascii="Arial" w:hAnsi="Arial" w:cs="Arial"/>
          <w:b/>
          <w:bCs/>
          <w:sz w:val="22"/>
          <w:lang w:val="en-GB"/>
        </w:rPr>
        <w:t xml:space="preserve">, </w:t>
      </w:r>
      <w:r>
        <w:rPr>
          <w:rFonts w:ascii="Arial" w:hAnsi="Arial" w:cs="Arial"/>
          <w:b/>
          <w:bCs/>
          <w:sz w:val="22"/>
          <w:lang w:val="en-GB"/>
        </w:rPr>
        <w:t>Sweden</w:t>
      </w:r>
      <w:r w:rsidR="00D82A53">
        <w:rPr>
          <w:rFonts w:ascii="Arial" w:hAnsi="Arial" w:cs="Arial"/>
          <w:b/>
          <w:bCs/>
          <w:sz w:val="22"/>
          <w:lang w:val="en-GB"/>
        </w:rPr>
        <w:t xml:space="preserve">, </w:t>
      </w:r>
      <w:r>
        <w:rPr>
          <w:rFonts w:ascii="Arial" w:hAnsi="Arial" w:cs="Arial"/>
          <w:b/>
          <w:bCs/>
          <w:sz w:val="22"/>
          <w:lang w:val="en-GB"/>
        </w:rPr>
        <w:t>22</w:t>
      </w:r>
      <w:r w:rsidRPr="00197C9B">
        <w:rPr>
          <w:rFonts w:ascii="Arial" w:hAnsi="Arial" w:cs="Arial"/>
          <w:b/>
          <w:bCs/>
          <w:sz w:val="22"/>
          <w:vertAlign w:val="superscript"/>
          <w:lang w:val="en-GB"/>
        </w:rPr>
        <w:t>nd</w:t>
      </w:r>
      <w:r>
        <w:rPr>
          <w:rFonts w:ascii="Arial" w:hAnsi="Arial" w:cs="Arial"/>
          <w:b/>
          <w:bCs/>
          <w:sz w:val="22"/>
          <w:lang w:val="en-GB"/>
        </w:rPr>
        <w:t xml:space="preserve"> –</w:t>
      </w:r>
      <w:r w:rsidR="00A569A4" w:rsidRPr="00525CF4">
        <w:rPr>
          <w:rFonts w:ascii="Arial" w:hAnsi="Arial" w:cs="Arial"/>
          <w:b/>
          <w:bCs/>
          <w:sz w:val="22"/>
          <w:lang w:val="en-GB"/>
        </w:rPr>
        <w:t xml:space="preserve"> </w:t>
      </w:r>
      <w:r w:rsidR="007F5F6D">
        <w:rPr>
          <w:rFonts w:ascii="Arial" w:hAnsi="Arial" w:cs="Arial"/>
          <w:b/>
          <w:bCs/>
          <w:sz w:val="22"/>
          <w:lang w:val="en-GB"/>
        </w:rPr>
        <w:t>2</w:t>
      </w:r>
      <w:r>
        <w:rPr>
          <w:rFonts w:ascii="Arial" w:hAnsi="Arial" w:cs="Arial"/>
          <w:b/>
          <w:bCs/>
          <w:sz w:val="22"/>
          <w:lang w:val="en-GB"/>
        </w:rPr>
        <w:t>6</w:t>
      </w:r>
      <w:r w:rsidRPr="00197C9B">
        <w:rPr>
          <w:rFonts w:ascii="Arial" w:hAnsi="Arial" w:cs="Arial"/>
          <w:b/>
          <w:bCs/>
          <w:sz w:val="22"/>
          <w:vertAlign w:val="superscript"/>
          <w:lang w:val="en-GB"/>
        </w:rPr>
        <w:t>th</w:t>
      </w:r>
      <w:r>
        <w:rPr>
          <w:rFonts w:ascii="Arial" w:hAnsi="Arial" w:cs="Arial"/>
          <w:b/>
          <w:bCs/>
          <w:sz w:val="22"/>
          <w:lang w:val="en-GB"/>
        </w:rPr>
        <w:t xml:space="preserve"> August</w:t>
      </w:r>
      <w:r w:rsidR="00A569A4" w:rsidRPr="00525CF4">
        <w:rPr>
          <w:rFonts w:ascii="Arial" w:hAnsi="Arial" w:cs="Arial"/>
          <w:b/>
          <w:bCs/>
          <w:sz w:val="22"/>
          <w:lang w:val="en-GB"/>
        </w:rPr>
        <w:t xml:space="preserve"> 201</w:t>
      </w:r>
      <w:r w:rsidR="00A569A4">
        <w:rPr>
          <w:rFonts w:ascii="Arial" w:hAnsi="Arial" w:cs="Arial"/>
          <w:b/>
          <w:bCs/>
          <w:sz w:val="22"/>
          <w:lang w:val="en-GB"/>
        </w:rPr>
        <w:t>6</w:t>
      </w:r>
      <w:bookmarkEnd w:id="0"/>
    </w:p>
    <w:p w:rsidR="00A569A4" w:rsidRPr="00525CF4" w:rsidRDefault="001A2CC4" w:rsidP="00A569A4">
      <w:pPr>
        <w:widowControl w:val="0"/>
        <w:autoSpaceDE w:val="0"/>
        <w:autoSpaceDN w:val="0"/>
        <w:spacing w:line="240" w:lineRule="auto"/>
        <w:outlineLvl w:val="0"/>
        <w:rPr>
          <w:rFonts w:ascii="Arial" w:hAnsi="Arial" w:cs="Arial"/>
          <w:b/>
          <w:bCs/>
          <w:sz w:val="22"/>
          <w:lang w:val="en-GB"/>
        </w:rPr>
      </w:pPr>
      <w:r w:rsidRPr="001A2CC4">
        <w:rPr>
          <w:rFonts w:ascii="Arial" w:eastAsia="MS Mincho" w:hAnsi="Arial"/>
          <w:b/>
          <w:sz w:val="22"/>
          <w:lang w:eastAsia="en-US"/>
        </w:rPr>
        <w:t>Source:</w:t>
      </w:r>
      <w:r w:rsidRPr="001A2CC4">
        <w:rPr>
          <w:rFonts w:ascii="Arial" w:eastAsia="MS Mincho" w:hAnsi="Arial" w:hint="eastAsia"/>
          <w:b/>
          <w:sz w:val="22"/>
          <w:lang w:eastAsia="en-US"/>
        </w:rPr>
        <w:t xml:space="preserve">          </w:t>
      </w:r>
      <w:r w:rsidRPr="001A2CC4">
        <w:rPr>
          <w:rFonts w:ascii="Arial" w:eastAsia="MS Mincho" w:hAnsi="Arial"/>
          <w:b/>
          <w:sz w:val="22"/>
          <w:lang w:eastAsia="en-US"/>
        </w:rPr>
        <w:t>ZTE</w:t>
      </w:r>
    </w:p>
    <w:p w:rsidR="00A569A4" w:rsidRPr="009C3C71" w:rsidRDefault="001A2CC4" w:rsidP="00A569A4">
      <w:pPr>
        <w:widowControl w:val="0"/>
        <w:autoSpaceDE w:val="0"/>
        <w:autoSpaceDN w:val="0"/>
        <w:spacing w:line="240" w:lineRule="auto"/>
        <w:rPr>
          <w:rFonts w:ascii="Arial" w:hAnsi="Arial" w:cs="Arial"/>
          <w:b/>
          <w:bCs/>
          <w:sz w:val="22"/>
        </w:rPr>
      </w:pPr>
      <w:r w:rsidRPr="001A2CC4">
        <w:rPr>
          <w:rFonts w:ascii="Arial" w:eastAsia="MS Mincho" w:hAnsi="Arial"/>
          <w:b/>
          <w:sz w:val="22"/>
          <w:lang w:eastAsia="en-US"/>
        </w:rPr>
        <w:t>Title:</w:t>
      </w:r>
      <w:r w:rsidRPr="001A2CC4">
        <w:rPr>
          <w:rFonts w:ascii="Arial" w:eastAsia="MS Mincho" w:hAnsi="Arial" w:hint="eastAsia"/>
          <w:b/>
          <w:sz w:val="22"/>
          <w:lang w:eastAsia="en-US"/>
        </w:rPr>
        <w:t xml:space="preserve">            </w:t>
      </w:r>
      <w:r w:rsidR="001400FD">
        <w:rPr>
          <w:rFonts w:ascii="Arial" w:hAnsi="Arial"/>
          <w:b/>
          <w:sz w:val="22"/>
        </w:rPr>
        <w:t xml:space="preserve"> </w:t>
      </w:r>
      <w:r w:rsidR="00BE3E7A">
        <w:rPr>
          <w:rFonts w:ascii="Arial" w:hAnsi="Arial"/>
          <w:b/>
          <w:sz w:val="22"/>
        </w:rPr>
        <w:t xml:space="preserve">Multi-TRP </w:t>
      </w:r>
      <w:r w:rsidR="00587377">
        <w:rPr>
          <w:rFonts w:ascii="Arial" w:hAnsi="Arial"/>
          <w:b/>
          <w:sz w:val="22"/>
        </w:rPr>
        <w:t>Aspects of R</w:t>
      </w:r>
      <w:r w:rsidR="00BE3E7A">
        <w:rPr>
          <w:rFonts w:ascii="Arial" w:eastAsia="MS Mincho" w:hAnsi="Arial"/>
          <w:b/>
          <w:sz w:val="22"/>
          <w:lang w:eastAsia="en-US"/>
        </w:rPr>
        <w:t xml:space="preserve">andom </w:t>
      </w:r>
      <w:r w:rsidR="00587377">
        <w:rPr>
          <w:rFonts w:ascii="Arial" w:eastAsia="MS Mincho" w:hAnsi="Arial"/>
          <w:b/>
          <w:sz w:val="22"/>
          <w:lang w:eastAsia="en-US"/>
        </w:rPr>
        <w:t>A</w:t>
      </w:r>
      <w:r w:rsidR="00BE3E7A">
        <w:rPr>
          <w:rFonts w:ascii="Arial" w:eastAsia="MS Mincho" w:hAnsi="Arial"/>
          <w:b/>
          <w:sz w:val="22"/>
          <w:lang w:eastAsia="en-US"/>
        </w:rPr>
        <w:t>ccess</w:t>
      </w:r>
    </w:p>
    <w:p w:rsidR="00A569A4" w:rsidRPr="00827CC3" w:rsidRDefault="001A2CC4" w:rsidP="00A569A4">
      <w:pPr>
        <w:widowControl w:val="0"/>
        <w:autoSpaceDE w:val="0"/>
        <w:autoSpaceDN w:val="0"/>
        <w:spacing w:line="240" w:lineRule="auto"/>
        <w:rPr>
          <w:rFonts w:ascii="Arial" w:hAnsi="Arial" w:cs="Arial"/>
          <w:b/>
          <w:bCs/>
          <w:sz w:val="22"/>
          <w:lang w:val="en-GB"/>
        </w:rPr>
      </w:pPr>
      <w:r w:rsidRPr="001A2CC4">
        <w:rPr>
          <w:rFonts w:ascii="Arial" w:eastAsia="MS Mincho" w:hAnsi="Arial"/>
          <w:b/>
          <w:sz w:val="22"/>
          <w:lang w:eastAsia="en-US"/>
        </w:rPr>
        <w:t>Agenda item:</w:t>
      </w:r>
      <w:r w:rsidRPr="001A2CC4">
        <w:rPr>
          <w:rFonts w:ascii="Arial" w:eastAsia="MS Mincho" w:hAnsi="Arial" w:hint="eastAsia"/>
          <w:b/>
          <w:sz w:val="22"/>
          <w:lang w:eastAsia="en-US"/>
        </w:rPr>
        <w:t xml:space="preserve">     8.1.6</w:t>
      </w:r>
      <w:bookmarkStart w:id="1" w:name="Source"/>
      <w:bookmarkEnd w:id="1"/>
    </w:p>
    <w:p w:rsidR="00A569A4" w:rsidRDefault="001A2CC4" w:rsidP="00A569A4">
      <w:pPr>
        <w:pBdr>
          <w:bottom w:val="single" w:sz="4" w:space="1" w:color="auto"/>
        </w:pBdr>
        <w:tabs>
          <w:tab w:val="left" w:pos="2552"/>
        </w:tabs>
        <w:rPr>
          <w:rFonts w:ascii="Arial" w:hAnsi="Arial" w:cs="Arial"/>
          <w:b/>
          <w:sz w:val="22"/>
        </w:rPr>
      </w:pPr>
      <w:r w:rsidRPr="001A2CC4">
        <w:rPr>
          <w:rFonts w:ascii="Arial" w:eastAsia="MS Mincho" w:hAnsi="Arial"/>
          <w:b/>
          <w:sz w:val="22"/>
          <w:lang w:eastAsia="en-US"/>
        </w:rPr>
        <w:t xml:space="preserve">Document for:  </w:t>
      </w:r>
      <w:r w:rsidRPr="001A2CC4">
        <w:rPr>
          <w:rFonts w:ascii="Arial" w:eastAsia="MS Mincho" w:hAnsi="Arial" w:hint="eastAsia"/>
          <w:b/>
          <w:sz w:val="22"/>
          <w:lang w:eastAsia="en-US"/>
        </w:rPr>
        <w:t xml:space="preserve">  </w:t>
      </w:r>
      <w:r w:rsidRPr="001A2CC4">
        <w:rPr>
          <w:rFonts w:ascii="Arial" w:eastAsia="MS Mincho" w:hAnsi="Arial"/>
          <w:b/>
          <w:sz w:val="22"/>
          <w:lang w:eastAsia="en-US"/>
        </w:rPr>
        <w:t>Discussion and Decision</w:t>
      </w:r>
      <w:bookmarkStart w:id="2" w:name="DocumentFor"/>
      <w:bookmarkEnd w:id="2"/>
    </w:p>
    <w:p w:rsidR="00745EC5" w:rsidRDefault="00546B13" w:rsidP="009F14C0">
      <w:pPr>
        <w:pStyle w:val="Heading1"/>
        <w:keepNext w:val="0"/>
        <w:keepLines w:val="0"/>
        <w:widowControl w:val="0"/>
        <w:pBdr>
          <w:top w:val="none" w:sz="0" w:space="0" w:color="auto"/>
        </w:pBdr>
        <w:autoSpaceDE w:val="0"/>
        <w:autoSpaceDN w:val="0"/>
        <w:adjustRightInd w:val="0"/>
        <w:spacing w:beforeLines="50" w:afterLines="50" w:line="360" w:lineRule="auto"/>
        <w:ind w:left="431" w:hanging="431"/>
        <w:rPr>
          <w:rFonts w:eastAsia="SimHei"/>
          <w:b/>
          <w:bCs/>
          <w:sz w:val="32"/>
          <w:szCs w:val="30"/>
          <w:lang w:val="en-US" w:eastAsia="zh-CN"/>
        </w:rPr>
      </w:pPr>
      <w:r w:rsidRPr="001A2CC4">
        <w:rPr>
          <w:rFonts w:eastAsia="SimHei" w:hint="eastAsia"/>
          <w:b/>
          <w:bCs/>
          <w:sz w:val="32"/>
          <w:szCs w:val="30"/>
          <w:lang w:val="en-US" w:eastAsia="zh-CN"/>
        </w:rPr>
        <w:t>Introduction</w:t>
      </w:r>
    </w:p>
    <w:p w:rsidR="0099660F" w:rsidRDefault="0099660F" w:rsidP="0099660F">
      <w:pPr>
        <w:spacing w:line="276" w:lineRule="auto"/>
      </w:pPr>
      <w:r>
        <w:t xml:space="preserve">The companion contributions </w:t>
      </w:r>
      <w:r w:rsidR="00E77F26">
        <w:fldChar w:fldCharType="begin"/>
      </w:r>
      <w:r>
        <w:instrText xml:space="preserve"> REF _Ref458709262 \r \h </w:instrText>
      </w:r>
      <w:r w:rsidR="00E77F26">
        <w:fldChar w:fldCharType="separate"/>
      </w:r>
      <w:r w:rsidR="00323413">
        <w:t>[2]</w:t>
      </w:r>
      <w:r w:rsidR="00E77F26">
        <w:fldChar w:fldCharType="end"/>
      </w:r>
      <w:r w:rsidR="00E77F26">
        <w:fldChar w:fldCharType="begin"/>
      </w:r>
      <w:r>
        <w:instrText xml:space="preserve"> REF _Ref457731134 \r \h </w:instrText>
      </w:r>
      <w:r w:rsidR="00E77F26">
        <w:fldChar w:fldCharType="separate"/>
      </w:r>
      <w:r w:rsidR="00323413">
        <w:t>[7]</w:t>
      </w:r>
      <w:r w:rsidR="00E77F26">
        <w:fldChar w:fldCharType="end"/>
      </w:r>
      <w:r w:rsidR="00E77F26">
        <w:fldChar w:fldCharType="begin"/>
      </w:r>
      <w:r>
        <w:instrText xml:space="preserve"> REF _Ref457731934 \r \h </w:instrText>
      </w:r>
      <w:r w:rsidR="00E77F26">
        <w:fldChar w:fldCharType="separate"/>
      </w:r>
      <w:r w:rsidR="00323413">
        <w:t>[8]</w:t>
      </w:r>
      <w:r w:rsidR="00E77F26">
        <w:fldChar w:fldCharType="end"/>
      </w:r>
      <w:r>
        <w:t xml:space="preserve"> discuss the design of an initial access that supports beamforming at both the TRP and UE side. Such a design may include beam sweeping and beam RS (BRS). </w:t>
      </w:r>
    </w:p>
    <w:p w:rsidR="0099660F" w:rsidRDefault="0099660F" w:rsidP="0099660F">
      <w:pPr>
        <w:spacing w:line="276" w:lineRule="auto"/>
      </w:pPr>
    </w:p>
    <w:p w:rsidR="0099660F" w:rsidRDefault="0099660F" w:rsidP="0099660F">
      <w:pPr>
        <w:spacing w:line="276" w:lineRule="auto"/>
      </w:pPr>
      <w:r>
        <w:t>However, the notion of “beams” may be quite general and not limited to narrow beams transmitted by a single TRP. For instance, it also applies to the scenario with distributed TRP, connected with ideal backhaul to a centralized baseband, and where the TRPs use the same cell ID. In other words, the TRPs may synchronously jointly transmit the same synchronization signal. Different beams in different TRPs may use different BRS. Such a scenario is not much different from the scenarios considered above.</w:t>
      </w:r>
    </w:p>
    <w:p w:rsidR="0099660F" w:rsidRDefault="0099660F" w:rsidP="0099660F">
      <w:pPr>
        <w:spacing w:line="276" w:lineRule="auto"/>
      </w:pPr>
    </w:p>
    <w:p w:rsidR="0099660F" w:rsidRDefault="0099660F" w:rsidP="0099660F">
      <w:pPr>
        <w:spacing w:line="276" w:lineRule="auto"/>
      </w:pPr>
      <w:r>
        <w:rPr>
          <w:rFonts w:hint="eastAsia"/>
        </w:rPr>
        <w:t>In contra</w:t>
      </w:r>
      <w:r>
        <w:t>s</w:t>
      </w:r>
      <w:r>
        <w:rPr>
          <w:rFonts w:hint="eastAsia"/>
        </w:rPr>
        <w:t>t</w:t>
      </w:r>
      <w:r>
        <w:t xml:space="preserve">, </w:t>
      </w:r>
      <w:r>
        <w:rPr>
          <w:rFonts w:hint="eastAsia"/>
        </w:rPr>
        <w:t>the</w:t>
      </w:r>
      <w:r>
        <w:t xml:space="preserve"> </w:t>
      </w:r>
      <w:r w:rsidR="00054E54">
        <w:t>scena</w:t>
      </w:r>
      <w:r>
        <w:t>rio with distributed baseband and non-ideal backhaul between the TRP</w:t>
      </w:r>
      <w:r>
        <w:rPr>
          <w:rFonts w:hint="eastAsia"/>
        </w:rPr>
        <w:t xml:space="preserve"> is worthwhile to be analyzed.</w:t>
      </w:r>
      <w:r>
        <w:t xml:space="preserve"> The synchronization between the TRPs may be achieved by network listening over the air, for instance. For simplicity, </w:t>
      </w:r>
      <w:r>
        <w:rPr>
          <w:rFonts w:hint="eastAsia"/>
        </w:rPr>
        <w:t xml:space="preserve">we just </w:t>
      </w:r>
      <w:r>
        <w:t>consider omni-TRPs in the random access procedure discussed below.</w:t>
      </w:r>
    </w:p>
    <w:p w:rsidR="00054E54" w:rsidRDefault="00054E54" w:rsidP="00054E54">
      <w:pPr>
        <w:spacing w:line="276" w:lineRule="auto"/>
        <w:jc w:val="center"/>
      </w:pPr>
      <w:r w:rsidRPr="00054E54">
        <w:rPr>
          <w:noProof/>
          <w:lang w:val="en-GB" w:eastAsia="en-GB"/>
        </w:rPr>
        <w:drawing>
          <wp:inline distT="0" distB="0" distL="0" distR="0">
            <wp:extent cx="1451941" cy="1200647"/>
            <wp:effectExtent l="1905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121093" cy="2304256"/>
                      <a:chOff x="2339752" y="980728"/>
                      <a:chExt cx="2121093" cy="2304256"/>
                    </a:xfrm>
                  </a:grpSpPr>
                  <a:grpSp>
                    <a:nvGrpSpPr>
                      <a:cNvPr id="2" name="Group 155"/>
                      <a:cNvGrpSpPr/>
                    </a:nvGrpSpPr>
                    <a:grpSpPr>
                      <a:xfrm>
                        <a:off x="2699792" y="1916832"/>
                        <a:ext cx="216024" cy="360040"/>
                        <a:chOff x="827584" y="1484784"/>
                        <a:chExt cx="216024" cy="360040"/>
                      </a:xfrm>
                    </a:grpSpPr>
                    <a:sp>
                      <a:nvSpPr>
                        <a:cNvPr id="143" name="Rectangle 142"/>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4" name="Straight Connector 153"/>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3" name="Group 168"/>
                      <a:cNvGrpSpPr/>
                    </a:nvGrpSpPr>
                    <a:grpSpPr>
                      <a:xfrm>
                        <a:off x="3563888" y="2708920"/>
                        <a:ext cx="216024" cy="360040"/>
                        <a:chOff x="827584" y="1484784"/>
                        <a:chExt cx="216024" cy="360040"/>
                      </a:xfrm>
                    </a:grpSpPr>
                    <a:sp>
                      <a:nvSpPr>
                        <a:cNvPr id="170" name="Rectangle 169"/>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1" name="Straight Connector 170"/>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4" name="Group 173"/>
                      <a:cNvGrpSpPr/>
                    </a:nvGrpSpPr>
                    <a:grpSpPr>
                      <a:xfrm>
                        <a:off x="2627784" y="2924944"/>
                        <a:ext cx="216024" cy="360040"/>
                        <a:chOff x="827584" y="1484784"/>
                        <a:chExt cx="216024" cy="360040"/>
                      </a:xfrm>
                    </a:grpSpPr>
                    <a:sp>
                      <a:nvSpPr>
                        <a:cNvPr id="175" name="Rectangle 174"/>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6" name="Straight Connector 175"/>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5" name="Group 177"/>
                      <a:cNvGrpSpPr/>
                    </a:nvGrpSpPr>
                    <a:grpSpPr>
                      <a:xfrm>
                        <a:off x="3779912" y="1772816"/>
                        <a:ext cx="216024" cy="360040"/>
                        <a:chOff x="827584" y="1484784"/>
                        <a:chExt cx="216024" cy="360040"/>
                      </a:xfrm>
                    </a:grpSpPr>
                    <a:sp>
                      <a:nvSpPr>
                        <a:cNvPr id="179" name="Rectangle 178"/>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80" name="Straight Connector 179"/>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cxnSp>
                    <a:nvCxnSpPr>
                      <a:cNvPr id="100" name="Straight Connector 99"/>
                      <a:cNvCxnSpPr/>
                    </a:nvCxnSpPr>
                    <a:spPr>
                      <a:xfrm flipH="1" flipV="1">
                        <a:off x="3203848" y="980728"/>
                        <a:ext cx="576064" cy="93610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1" name="Straight Connector 100"/>
                      <a:cNvCxnSpPr/>
                    </a:nvCxnSpPr>
                    <a:spPr>
                      <a:xfrm flipH="1" flipV="1">
                        <a:off x="3203848" y="980728"/>
                        <a:ext cx="360040" cy="1872208"/>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4" name="Straight Connector 103"/>
                      <a:cNvCxnSpPr/>
                    </a:nvCxnSpPr>
                    <a:spPr>
                      <a:xfrm flipV="1">
                        <a:off x="2843808" y="1052736"/>
                        <a:ext cx="360040" cy="208823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6" name="Straight Connector 105"/>
                      <a:cNvCxnSpPr>
                        <a:stCxn id="143" idx="3"/>
                      </a:cNvCxnSpPr>
                    </a:nvCxnSpPr>
                    <a:spPr>
                      <a:xfrm flipV="1">
                        <a:off x="2915816" y="1052736"/>
                        <a:ext cx="288032" cy="111612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2339752" y="1196752"/>
                        <a:ext cx="2121093" cy="369332"/>
                      </a:xfrm>
                      <a:prstGeom prst="rect">
                        <a:avLst/>
                      </a:prstGeom>
                      <a:solidFill>
                        <a:schemeClr val="bg1"/>
                      </a:solid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non-ideal backhaul</a:t>
                          </a:r>
                          <a:endParaRPr lang="en-GB" dirty="0"/>
                        </a:p>
                      </a:txBody>
                      <a:useSpRect/>
                    </a:txSp>
                  </a:sp>
                </lc:lockedCanvas>
              </a:graphicData>
            </a:graphic>
          </wp:inline>
        </w:drawing>
      </w:r>
    </w:p>
    <w:p w:rsidR="00054E54" w:rsidRDefault="00054E54" w:rsidP="00054E54">
      <w:pPr>
        <w:pStyle w:val="Caption"/>
      </w:pPr>
      <w:r>
        <w:t xml:space="preserve">Figure </w:t>
      </w:r>
      <w:fldSimple w:instr=" SEQ Figure \* ARABIC ">
        <w:r w:rsidR="00323413">
          <w:rPr>
            <w:noProof/>
          </w:rPr>
          <w:t>1</w:t>
        </w:r>
      </w:fldSimple>
      <w:r>
        <w:t>: TRPs with distributed baseband and non-ideal backhaul.</w:t>
      </w:r>
    </w:p>
    <w:p w:rsidR="009F14C0" w:rsidRPr="009F14C0" w:rsidRDefault="009F14C0" w:rsidP="009F14C0">
      <w:pPr>
        <w:rPr>
          <w:lang w:val="en-GB" w:eastAsia="en-US"/>
        </w:rPr>
      </w:pPr>
      <w:r>
        <w:rPr>
          <w:lang w:val="en-GB" w:eastAsia="en-US"/>
        </w:rPr>
        <w:t xml:space="preserve">A unified random access UE procedure for all scenarios is discussed further in </w:t>
      </w:r>
      <w:r>
        <w:rPr>
          <w:lang w:val="en-GB" w:eastAsia="en-US"/>
        </w:rPr>
        <w:fldChar w:fldCharType="begin"/>
      </w:r>
      <w:r>
        <w:rPr>
          <w:lang w:val="en-GB" w:eastAsia="en-US"/>
        </w:rPr>
        <w:instrText xml:space="preserve"> REF _Ref458709518 \r \h </w:instrText>
      </w:r>
      <w:r>
        <w:rPr>
          <w:lang w:val="en-GB" w:eastAsia="en-US"/>
        </w:rPr>
      </w:r>
      <w:r>
        <w:rPr>
          <w:lang w:val="en-GB" w:eastAsia="en-US"/>
        </w:rPr>
        <w:fldChar w:fldCharType="separate"/>
      </w:r>
      <w:r w:rsidR="00323413">
        <w:rPr>
          <w:lang w:val="en-GB" w:eastAsia="en-US"/>
        </w:rPr>
        <w:t>[6]</w:t>
      </w:r>
      <w:r>
        <w:rPr>
          <w:lang w:val="en-GB" w:eastAsia="en-US"/>
        </w:rPr>
        <w:fldChar w:fldCharType="end"/>
      </w:r>
      <w:r>
        <w:rPr>
          <w:lang w:val="en-GB" w:eastAsia="en-US"/>
        </w:rPr>
        <w:t>.</w:t>
      </w:r>
    </w:p>
    <w:p w:rsidR="00FC093A" w:rsidRDefault="00D36153" w:rsidP="009F14C0">
      <w:pPr>
        <w:pStyle w:val="Heading1"/>
        <w:keepNext w:val="0"/>
        <w:keepLines w:val="0"/>
        <w:widowControl w:val="0"/>
        <w:pBdr>
          <w:top w:val="none" w:sz="0" w:space="0" w:color="auto"/>
        </w:pBdr>
        <w:autoSpaceDE w:val="0"/>
        <w:autoSpaceDN w:val="0"/>
        <w:adjustRightInd w:val="0"/>
        <w:spacing w:beforeLines="100" w:afterLines="50" w:line="360" w:lineRule="auto"/>
        <w:ind w:left="431" w:hanging="431"/>
        <w:rPr>
          <w:rFonts w:eastAsia="SimHei"/>
          <w:b/>
          <w:bCs/>
          <w:sz w:val="32"/>
          <w:szCs w:val="30"/>
          <w:lang w:val="en-US" w:eastAsia="zh-CN"/>
        </w:rPr>
      </w:pPr>
      <w:bookmarkStart w:id="3" w:name="_Ref458110057"/>
      <w:r>
        <w:rPr>
          <w:rFonts w:eastAsia="SimHei"/>
          <w:b/>
          <w:bCs/>
          <w:sz w:val="32"/>
          <w:szCs w:val="30"/>
          <w:lang w:val="en-US" w:eastAsia="zh-CN"/>
        </w:rPr>
        <w:t xml:space="preserve">Multi-TRP Aspects of </w:t>
      </w:r>
      <w:r w:rsidR="009C6143">
        <w:rPr>
          <w:rFonts w:eastAsia="SimHei"/>
          <w:b/>
          <w:bCs/>
          <w:sz w:val="32"/>
          <w:szCs w:val="30"/>
          <w:lang w:val="en-US" w:eastAsia="zh-CN"/>
        </w:rPr>
        <w:t>Random Access</w:t>
      </w:r>
      <w:bookmarkEnd w:id="3"/>
    </w:p>
    <w:p w:rsidR="0007267F" w:rsidRPr="00766685" w:rsidRDefault="0007267F" w:rsidP="0007267F">
      <w:pPr>
        <w:pStyle w:val="Heading4"/>
        <w:ind w:left="851" w:hanging="851"/>
        <w:rPr>
          <w:rFonts w:eastAsia="SimHei"/>
        </w:rPr>
      </w:pPr>
      <w:r>
        <w:rPr>
          <w:rFonts w:eastAsia="SimHei"/>
        </w:rPr>
        <w:t>Before Random Access</w:t>
      </w:r>
    </w:p>
    <w:p w:rsidR="00910604" w:rsidRDefault="007612C7" w:rsidP="007E09CE">
      <w:pPr>
        <w:spacing w:line="276" w:lineRule="auto"/>
      </w:pPr>
      <w:r>
        <w:t>Similarly as with reciprocity in BS only (for multi-beam)</w:t>
      </w:r>
      <w:r w:rsidR="0099660F">
        <w:t xml:space="preserve">, as in </w:t>
      </w:r>
      <w:r w:rsidR="00E77F26">
        <w:fldChar w:fldCharType="begin"/>
      </w:r>
      <w:r w:rsidR="0099660F">
        <w:instrText xml:space="preserve"> REF _Ref458709262 \r \h </w:instrText>
      </w:r>
      <w:r w:rsidR="00E77F26">
        <w:fldChar w:fldCharType="separate"/>
      </w:r>
      <w:r w:rsidR="00323413">
        <w:t>[2]</w:t>
      </w:r>
      <w:r w:rsidR="00E77F26">
        <w:fldChar w:fldCharType="end"/>
      </w:r>
      <w:r>
        <w:t xml:space="preserve">. </w:t>
      </w:r>
      <w:r w:rsidR="00910604">
        <w:t xml:space="preserve">The random access configuration indicates that the BS </w:t>
      </w:r>
      <w:r w:rsidR="00910604" w:rsidRPr="00A12673">
        <w:rPr>
          <w:u w:val="single"/>
        </w:rPr>
        <w:t>does not</w:t>
      </w:r>
      <w:r w:rsidR="00910604">
        <w:t xml:space="preserve"> need to perform beam sweeping of BS Rx beams for the random access preamble reception.</w:t>
      </w:r>
    </w:p>
    <w:p w:rsidR="007A12CD" w:rsidRDefault="0007267F" w:rsidP="007E09CE">
      <w:pPr>
        <w:spacing w:line="276" w:lineRule="auto"/>
      </w:pPr>
      <w:r>
        <w:t xml:space="preserve">Each TRP may be assigned an individual BRS. Hence, the UE would measure the RSRP from the different TRPs. </w:t>
      </w:r>
      <w:r w:rsidR="007A12CD">
        <w:t>Since each TRP has a TRX, the number of sweeping blocks can be kept to a minimum</w:t>
      </w:r>
      <w:r w:rsidR="0099660F">
        <w:t>, for instance one</w:t>
      </w:r>
      <w:r w:rsidR="007A12CD">
        <w:t xml:space="preserve">. Instead, the number of simultaneous BRS can be maximized. </w:t>
      </w:r>
    </w:p>
    <w:p w:rsidR="001F1686" w:rsidRDefault="007A12CD" w:rsidP="007E09CE">
      <w:pPr>
        <w:spacing w:line="276" w:lineRule="auto"/>
      </w:pPr>
      <w:r>
        <w:lastRenderedPageBreak/>
        <w:t>The best BRS corresponds to the best (“closest”) TRP. The UE learns the best UE Rx beam.</w:t>
      </w:r>
    </w:p>
    <w:p w:rsidR="001F1686" w:rsidRDefault="001F1686" w:rsidP="009C6143"/>
    <w:p w:rsidR="00221CE3" w:rsidRDefault="0099660F" w:rsidP="009C6143">
      <w:r w:rsidRPr="0099660F">
        <w:rPr>
          <w:noProof/>
          <w:lang w:val="en-GB" w:eastAsia="en-GB"/>
        </w:rPr>
        <w:drawing>
          <wp:inline distT="0" distB="0" distL="0" distR="0">
            <wp:extent cx="5731510" cy="3211254"/>
            <wp:effectExtent l="0" t="0" r="0" b="0"/>
            <wp:docPr id="1"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409902" cy="5832648"/>
                      <a:chOff x="-684584" y="476672"/>
                      <a:chExt cx="10409902" cy="5832648"/>
                    </a:xfrm>
                  </a:grpSpPr>
                  <a:sp>
                    <a:nvSpPr>
                      <a:cNvPr id="10" name="Left Brace 9"/>
                      <a:cNvSpPr/>
                    </a:nvSpPr>
                    <a:spPr>
                      <a:xfrm rot="5400000">
                        <a:off x="2015716" y="-351420"/>
                        <a:ext cx="504056" cy="2880320"/>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93" name="Oval 192"/>
                      <a:cNvSpPr/>
                    </a:nvSpPr>
                    <a:spPr>
                      <a:xfrm>
                        <a:off x="2555776" y="1844824"/>
                        <a:ext cx="792088" cy="720080"/>
                      </a:xfrm>
                      <a:prstGeom prst="ellipse">
                        <a:avLst/>
                      </a:prstGeom>
                      <a:solidFill>
                        <a:srgbClr val="00B0F0"/>
                      </a:solid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Oval 196"/>
                      <a:cNvSpPr/>
                    </a:nvSpPr>
                    <a:spPr>
                      <a:xfrm>
                        <a:off x="3347864" y="1124744"/>
                        <a:ext cx="792088" cy="720080"/>
                      </a:xfrm>
                      <a:prstGeom prst="ellipse">
                        <a:avLst/>
                      </a:prstGeom>
                      <a:solidFill>
                        <a:srgbClr val="00B0F0"/>
                      </a:solid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68" name="Oval 167"/>
                      <a:cNvSpPr/>
                    </a:nvSpPr>
                    <a:spPr>
                      <a:xfrm>
                        <a:off x="539552" y="1196752"/>
                        <a:ext cx="792088" cy="720080"/>
                      </a:xfrm>
                      <a:prstGeom prst="ellipse">
                        <a:avLst/>
                      </a:prstGeom>
                      <a:solidFill>
                        <a:srgbClr val="00B0F0"/>
                      </a:solid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2" name="Oval 171"/>
                      <a:cNvSpPr/>
                    </a:nvSpPr>
                    <a:spPr>
                      <a:xfrm>
                        <a:off x="971600" y="1700808"/>
                        <a:ext cx="792088" cy="720080"/>
                      </a:xfrm>
                      <a:prstGeom prst="ellipse">
                        <a:avLst/>
                      </a:prstGeom>
                      <a:solidFill>
                        <a:srgbClr val="00B0F0"/>
                      </a:solid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a:off x="890081" y="476672"/>
                        <a:ext cx="2817823"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DL sweeping time interval</a:t>
                          </a:r>
                          <a:endParaRPr lang="en-GB" dirty="0"/>
                        </a:p>
                      </a:txBody>
                      <a:useSpRect/>
                    </a:txSp>
                  </a:sp>
                  <a:sp>
                    <a:nvSpPr>
                      <a:cNvPr id="16" name="Left Brace 15"/>
                      <a:cNvSpPr/>
                    </a:nvSpPr>
                    <a:spPr>
                      <a:xfrm rot="16200000">
                        <a:off x="2015716" y="2456892"/>
                        <a:ext cx="504056" cy="2880320"/>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40" name="TextBox 39"/>
                      <a:cNvSpPr txBox="1"/>
                    </a:nvSpPr>
                    <a:spPr>
                      <a:xfrm>
                        <a:off x="1979712" y="1484784"/>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123" name="TextBox 122"/>
                      <a:cNvSpPr txBox="1"/>
                    </a:nvSpPr>
                    <a:spPr>
                      <a:xfrm>
                        <a:off x="6636812" y="1484783"/>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150" name="TextBox 149"/>
                      <a:cNvSpPr txBox="1"/>
                    </a:nvSpPr>
                    <a:spPr>
                      <a:xfrm>
                        <a:off x="-684584" y="1628800"/>
                        <a:ext cx="117243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 </a:t>
                          </a:r>
                          <a:r>
                            <a:rPr lang="sv-SE" dirty="0" smtClean="0"/>
                            <a:t>TRP</a:t>
                          </a:r>
                          <a:r>
                            <a:rPr lang="sv-SE" dirty="0" smtClean="0"/>
                            <a:t> </a:t>
                          </a:r>
                          <a:r>
                            <a:rPr lang="sv-SE" dirty="0" smtClean="0"/>
                            <a:t>Tx</a:t>
                          </a:r>
                        </a:p>
                        <a:p>
                          <a:r>
                            <a:rPr lang="sv-SE" dirty="0" smtClean="0"/>
                            <a:t>beams</a:t>
                          </a:r>
                          <a:endParaRPr lang="en-GB" dirty="0"/>
                        </a:p>
                      </a:txBody>
                      <a:useSpRect/>
                    </a:txSp>
                  </a:sp>
                  <a:cxnSp>
                    <a:nvCxnSpPr>
                      <a:cNvPr id="102" name="Straight Arrow Connector 101"/>
                      <a:cNvCxnSpPr/>
                    </a:nvCxnSpPr>
                    <a:spPr>
                      <a:xfrm>
                        <a:off x="1187624"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09" name="Straight Arrow Connector 108"/>
                      <a:cNvCxnSpPr/>
                    </a:nvCxnSpPr>
                    <a:spPr>
                      <a:xfrm>
                        <a:off x="3347864"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663580" y="2924944"/>
                        <a:ext cx="1128835"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BRSRP</a:t>
                          </a:r>
                          <a:r>
                            <a:rPr lang="sv-SE" baseline="-25000" dirty="0" smtClean="0"/>
                            <a:t>0</a:t>
                          </a:r>
                          <a:r>
                            <a:rPr lang="sv-SE" dirty="0" smtClean="0"/>
                            <a:t>,</a:t>
                          </a:r>
                        </a:p>
                        <a:p>
                          <a:r>
                            <a:rPr lang="sv-SE" dirty="0" smtClean="0"/>
                            <a:t>BRSRP</a:t>
                          </a:r>
                          <a:r>
                            <a:rPr lang="sv-SE" baseline="-25000" dirty="0" smtClean="0"/>
                            <a:t>1</a:t>
                          </a:r>
                          <a:endParaRPr lang="en-GB" dirty="0"/>
                        </a:p>
                      </a:txBody>
                      <a:useSpRect/>
                    </a:txSp>
                  </a:sp>
                  <a:sp>
                    <a:nvSpPr>
                      <a:cNvPr id="124" name="TextBox 123"/>
                      <a:cNvSpPr txBox="1"/>
                    </a:nvSpPr>
                    <a:spPr>
                      <a:xfrm>
                        <a:off x="1986389" y="2782669"/>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127" name="TextBox 126"/>
                      <a:cNvSpPr txBox="1"/>
                    </a:nvSpPr>
                    <a:spPr>
                      <a:xfrm>
                        <a:off x="2867101" y="2924944"/>
                        <a:ext cx="1282723"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BRSRP</a:t>
                          </a:r>
                          <a:r>
                            <a:rPr lang="sv-SE" baseline="-25000" dirty="0" smtClean="0"/>
                            <a:t>B-2</a:t>
                          </a:r>
                          <a:r>
                            <a:rPr lang="sv-SE" dirty="0" smtClean="0"/>
                            <a:t>,</a:t>
                          </a:r>
                        </a:p>
                        <a:p>
                          <a:r>
                            <a:rPr lang="sv-SE" dirty="0" smtClean="0"/>
                            <a:t>BRSRP</a:t>
                          </a:r>
                          <a:r>
                            <a:rPr lang="sv-SE" baseline="-25000" dirty="0" smtClean="0"/>
                            <a:t>B-1</a:t>
                          </a:r>
                          <a:endParaRPr lang="en-GB" dirty="0"/>
                        </a:p>
                      </a:txBody>
                      <a:useSpRect/>
                    </a:txSp>
                  </a:sp>
                  <a:cxnSp>
                    <a:nvCxnSpPr>
                      <a:cNvPr id="133" name="Straight Arrow Connector 132"/>
                      <a:cNvCxnSpPr>
                        <a:stCxn id="16" idx="1"/>
                      </a:cNvCxnSpPr>
                    </a:nvCxnSpPr>
                    <a:spPr>
                      <a:xfrm>
                        <a:off x="2267744" y="4149080"/>
                        <a:ext cx="0" cy="792088"/>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45" name="Straight Arrow Connector 144"/>
                      <a:cNvCxnSpPr/>
                    </a:nvCxnSpPr>
                    <a:spPr>
                      <a:xfrm>
                        <a:off x="2627784" y="5085184"/>
                        <a:ext cx="1080120"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49" name="TextBox 148"/>
                      <a:cNvSpPr txBox="1"/>
                    </a:nvSpPr>
                    <a:spPr>
                      <a:xfrm>
                        <a:off x="4089828" y="1628800"/>
                        <a:ext cx="1202252"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 </a:t>
                          </a:r>
                          <a:r>
                            <a:rPr lang="sv-SE" dirty="0" smtClean="0"/>
                            <a:t>TRP</a:t>
                          </a:r>
                          <a:r>
                            <a:rPr lang="sv-SE" dirty="0" smtClean="0"/>
                            <a:t> </a:t>
                          </a:r>
                          <a:r>
                            <a:rPr lang="sv-SE" dirty="0" smtClean="0"/>
                            <a:t>Rx</a:t>
                          </a:r>
                        </a:p>
                        <a:p>
                          <a:r>
                            <a:rPr lang="sv-SE" dirty="0" smtClean="0"/>
                            <a:t>beams</a:t>
                          </a:r>
                          <a:endParaRPr lang="en-GB" dirty="0"/>
                        </a:p>
                      </a:txBody>
                      <a:useSpRect/>
                    </a:txSp>
                  </a:sp>
                  <a:sp>
                    <a:nvSpPr>
                      <a:cNvPr id="151" name="Left Brace 150"/>
                      <a:cNvSpPr/>
                    </a:nvSpPr>
                    <a:spPr>
                      <a:xfrm rot="5400000">
                        <a:off x="6672816" y="-351420"/>
                        <a:ext cx="504056" cy="2880320"/>
                      </a:xfrm>
                      <a:prstGeom prst="leftBrace">
                        <a:avLst/>
                      </a:prstGeom>
                      <a:ln w="2540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tx1"/>
                              </a:solidFill>
                              <a:latin typeface="+mn-lt"/>
                              <a:ea typeface="+mn-ea"/>
                              <a:cs typeface="+mn-cs"/>
                            </a:defRPr>
                          </a:lvl1pPr>
                          <a:lvl2pPr marL="457200" algn="l" rtl="0" eaLnBrk="0" fontAlgn="base" hangingPunct="0">
                            <a:spcBef>
                              <a:spcPct val="0"/>
                            </a:spcBef>
                            <a:spcAft>
                              <a:spcPct val="0"/>
                            </a:spcAft>
                            <a:defRPr kumimoji="1" kern="1200">
                              <a:solidFill>
                                <a:schemeClr val="tx1"/>
                              </a:solidFill>
                              <a:latin typeface="+mn-lt"/>
                              <a:ea typeface="+mn-ea"/>
                              <a:cs typeface="+mn-cs"/>
                            </a:defRPr>
                          </a:lvl2pPr>
                          <a:lvl3pPr marL="914400" algn="l" rtl="0" eaLnBrk="0" fontAlgn="base" hangingPunct="0">
                            <a:spcBef>
                              <a:spcPct val="0"/>
                            </a:spcBef>
                            <a:spcAft>
                              <a:spcPct val="0"/>
                            </a:spcAft>
                            <a:defRPr kumimoji="1" kern="1200">
                              <a:solidFill>
                                <a:schemeClr val="tx1"/>
                              </a:solidFill>
                              <a:latin typeface="+mn-lt"/>
                              <a:ea typeface="+mn-ea"/>
                              <a:cs typeface="+mn-cs"/>
                            </a:defRPr>
                          </a:lvl3pPr>
                          <a:lvl4pPr marL="1371600" algn="l" rtl="0" eaLnBrk="0" fontAlgn="base" hangingPunct="0">
                            <a:spcBef>
                              <a:spcPct val="0"/>
                            </a:spcBef>
                            <a:spcAft>
                              <a:spcPct val="0"/>
                            </a:spcAft>
                            <a:defRPr kumimoji="1" kern="1200">
                              <a:solidFill>
                                <a:schemeClr val="tx1"/>
                              </a:solidFill>
                              <a:latin typeface="+mn-lt"/>
                              <a:ea typeface="+mn-ea"/>
                              <a:cs typeface="+mn-cs"/>
                            </a:defRPr>
                          </a:lvl4pPr>
                          <a:lvl5pPr marL="1828800" algn="l" rtl="0" eaLnBrk="0" fontAlgn="base" hangingPunct="0">
                            <a:spcBef>
                              <a:spcPct val="0"/>
                            </a:spcBef>
                            <a:spcAft>
                              <a:spcPct val="0"/>
                            </a:spcAft>
                            <a:defRPr kumimoji="1" kern="1200">
                              <a:solidFill>
                                <a:schemeClr val="tx1"/>
                              </a:solidFill>
                              <a:latin typeface="+mn-lt"/>
                              <a:ea typeface="+mn-ea"/>
                              <a:cs typeface="+mn-cs"/>
                            </a:defRPr>
                          </a:lvl5pPr>
                          <a:lvl6pPr marL="2286000" algn="l" defTabSz="914400" rtl="0" eaLnBrk="1" latinLnBrk="0" hangingPunct="1">
                            <a:defRPr kumimoji="1" kern="1200">
                              <a:solidFill>
                                <a:schemeClr val="tx1"/>
                              </a:solidFill>
                              <a:latin typeface="+mn-lt"/>
                              <a:ea typeface="+mn-ea"/>
                              <a:cs typeface="+mn-cs"/>
                            </a:defRPr>
                          </a:lvl6pPr>
                          <a:lvl7pPr marL="2743200" algn="l" defTabSz="914400" rtl="0" eaLnBrk="1" latinLnBrk="0" hangingPunct="1">
                            <a:defRPr kumimoji="1" kern="1200">
                              <a:solidFill>
                                <a:schemeClr val="tx1"/>
                              </a:solidFill>
                              <a:latin typeface="+mn-lt"/>
                              <a:ea typeface="+mn-ea"/>
                              <a:cs typeface="+mn-cs"/>
                            </a:defRPr>
                          </a:lvl7pPr>
                          <a:lvl8pPr marL="3200400" algn="l" defTabSz="914400" rtl="0" eaLnBrk="1" latinLnBrk="0" hangingPunct="1">
                            <a:defRPr kumimoji="1" kern="1200">
                              <a:solidFill>
                                <a:schemeClr val="tx1"/>
                              </a:solidFill>
                              <a:latin typeface="+mn-lt"/>
                              <a:ea typeface="+mn-ea"/>
                              <a:cs typeface="+mn-cs"/>
                            </a:defRPr>
                          </a:lvl8pPr>
                          <a:lvl9pPr marL="3657600" algn="l" defTabSz="914400" rtl="0" eaLnBrk="1" latinLnBrk="0" hangingPunct="1">
                            <a:defRPr kumimoji="1"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52" name="TextBox 151"/>
                      <a:cNvSpPr txBox="1"/>
                    </a:nvSpPr>
                    <a:spPr>
                      <a:xfrm>
                        <a:off x="5547181" y="476672"/>
                        <a:ext cx="2817823"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UL sweeping time interval</a:t>
                          </a:r>
                          <a:endParaRPr lang="en-GB" dirty="0"/>
                        </a:p>
                      </a:txBody>
                      <a:useSpRect/>
                    </a:txSp>
                  </a:sp>
                  <a:sp>
                    <a:nvSpPr>
                      <a:cNvPr id="153" name="Rectangle 152"/>
                      <a:cNvSpPr/>
                    </a:nvSpPr>
                    <a:spPr>
                      <a:xfrm>
                        <a:off x="3707904" y="4149080"/>
                        <a:ext cx="1584176" cy="2160240"/>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r>
                            <a:rPr lang="sv-SE" sz="1600" dirty="0" smtClean="0">
                              <a:solidFill>
                                <a:schemeClr val="tx1"/>
                              </a:solidFill>
                            </a:rPr>
                            <a:t>Association between best beam and resource subset for preamble transmission</a:t>
                          </a:r>
                          <a:r>
                            <a:rPr lang="en-GB" sz="1600" dirty="0" smtClean="0">
                              <a:solidFill>
                                <a:schemeClr val="tx1"/>
                              </a:solidFill>
                            </a:rPr>
                            <a:t> and RAR resources.</a:t>
                          </a:r>
                          <a:endParaRPr lang="sv-SE" sz="16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9" name="Straight Arrow Connector 158"/>
                      <a:cNvCxnSpPr/>
                    </a:nvCxnSpPr>
                    <a:spPr>
                      <a:xfrm>
                        <a:off x="5292080" y="4798893"/>
                        <a:ext cx="504056"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0" name="Straight Arrow Connector 159"/>
                      <a:cNvCxnSpPr/>
                    </a:nvCxnSpPr>
                    <a:spPr>
                      <a:xfrm flipV="1">
                        <a:off x="5844724"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1" name="Straight Arrow Connector 160"/>
                      <a:cNvCxnSpPr/>
                    </a:nvCxnSpPr>
                    <a:spPr>
                      <a:xfrm flipV="1">
                        <a:off x="8004964"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62" name="TextBox 161"/>
                      <a:cNvSpPr txBox="1"/>
                    </a:nvSpPr>
                    <a:spPr>
                      <a:xfrm>
                        <a:off x="4571823" y="2923203"/>
                        <a:ext cx="2064989"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Resource subset</a:t>
                          </a:r>
                          <a:r>
                            <a:rPr lang="sv-SE" baseline="-25000" dirty="0" smtClean="0"/>
                            <a:t>0</a:t>
                          </a:r>
                          <a:r>
                            <a:rPr lang="sv-SE" dirty="0" smtClean="0"/>
                            <a:t>,</a:t>
                          </a:r>
                        </a:p>
                        <a:p>
                          <a:r>
                            <a:rPr lang="sv-SE" dirty="0" smtClean="0"/>
                            <a:t>Resource subset</a:t>
                          </a:r>
                          <a:r>
                            <a:rPr lang="sv-SE" baseline="-25000" dirty="0" smtClean="0"/>
                            <a:t>1</a:t>
                          </a:r>
                          <a:endParaRPr lang="en-GB" dirty="0"/>
                        </a:p>
                      </a:txBody>
                      <a:useSpRect/>
                    </a:txSp>
                  </a:sp>
                  <a:sp>
                    <a:nvSpPr>
                      <a:cNvPr id="163" name="TextBox 162"/>
                      <a:cNvSpPr txBox="1"/>
                    </a:nvSpPr>
                    <a:spPr>
                      <a:xfrm>
                        <a:off x="6561609" y="2780928"/>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sp>
                    <a:nvSpPr>
                      <a:cNvPr id="164" name="TextBox 163"/>
                      <a:cNvSpPr txBox="1"/>
                    </a:nvSpPr>
                    <a:spPr>
                      <a:xfrm>
                        <a:off x="7442321" y="2923203"/>
                        <a:ext cx="228299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Resource subset</a:t>
                          </a:r>
                          <a:r>
                            <a:rPr lang="sv-SE" baseline="-25000" dirty="0" smtClean="0"/>
                            <a:t>B-2</a:t>
                          </a:r>
                          <a:r>
                            <a:rPr lang="sv-SE" dirty="0" smtClean="0"/>
                            <a:t>,</a:t>
                          </a:r>
                        </a:p>
                        <a:p>
                          <a:r>
                            <a:rPr lang="sv-SE" dirty="0" smtClean="0"/>
                            <a:t>Resource subset</a:t>
                          </a:r>
                          <a:r>
                            <a:rPr lang="sv-SE" baseline="-25000" dirty="0" smtClean="0"/>
                            <a:t>B-1</a:t>
                          </a:r>
                          <a:endParaRPr lang="en-GB" dirty="0"/>
                        </a:p>
                      </a:txBody>
                      <a:useSpRect/>
                    </a:txSp>
                  </a:sp>
                  <a:sp>
                    <a:nvSpPr>
                      <a:cNvPr id="165" name="TextBox 164"/>
                      <a:cNvSpPr txBox="1"/>
                    </a:nvSpPr>
                    <a:spPr>
                      <a:xfrm>
                        <a:off x="5851009" y="4438853"/>
                        <a:ext cx="31854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Time/frequency/preamble</a:t>
                          </a:r>
                        </a:p>
                        <a:p>
                          <a:r>
                            <a:rPr lang="sv-SE" dirty="0" smtClean="0"/>
                            <a:t>transmission resource subset</a:t>
                          </a:r>
                          <a:endParaRPr lang="en-GB" dirty="0"/>
                        </a:p>
                      </a:txBody>
                      <a:useSpRect/>
                    </a:txSp>
                  </a:sp>
                  <a:sp>
                    <a:nvSpPr>
                      <a:cNvPr id="166" name="Down Arrow 165"/>
                      <a:cNvSpPr/>
                    </a:nvSpPr>
                    <a:spPr>
                      <a:xfrm rot="10800000">
                        <a:off x="6588225" y="3645024"/>
                        <a:ext cx="864096" cy="720080"/>
                      </a:xfrm>
                      <a:prstGeom prst="downArrow">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3" name="TextBox 172"/>
                      <a:cNvSpPr txBox="1"/>
                    </a:nvSpPr>
                    <a:spPr>
                      <a:xfrm>
                        <a:off x="1412260" y="4869160"/>
                        <a:ext cx="1287532"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Best beam</a:t>
                          </a:r>
                          <a:endParaRPr lang="en-GB" dirty="0"/>
                        </a:p>
                      </a:txBody>
                      <a:useSpRect/>
                    </a:txSp>
                  </a:sp>
                  <a:cxnSp>
                    <a:nvCxnSpPr>
                      <a:cNvPr id="225" name="Straight Arrow Connector 224"/>
                      <a:cNvCxnSpPr/>
                    </a:nvCxnSpPr>
                    <a:spPr>
                      <a:xfrm>
                        <a:off x="5292080" y="5517232"/>
                        <a:ext cx="1296144"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27" name="TextBox 226"/>
                      <a:cNvSpPr txBox="1"/>
                    </a:nvSpPr>
                    <a:spPr>
                      <a:xfrm>
                        <a:off x="6732240" y="5301208"/>
                        <a:ext cx="1903085" cy="369332"/>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dirty="0" smtClean="0"/>
                            <a:t>RAR resource(s)</a:t>
                          </a:r>
                          <a:endParaRPr lang="en-GB" dirty="0"/>
                        </a:p>
                      </a:txBody>
                      <a:useSpRect/>
                    </a:txSp>
                  </a:sp>
                  <a:grpSp>
                    <a:nvGrpSpPr>
                      <a:cNvPr id="156" name="Group 155"/>
                      <a:cNvGrpSpPr/>
                    </a:nvGrpSpPr>
                    <a:grpSpPr>
                      <a:xfrm>
                        <a:off x="827584" y="1340768"/>
                        <a:ext cx="216024" cy="360040"/>
                        <a:chOff x="827584" y="1484784"/>
                        <a:chExt cx="216024" cy="360040"/>
                      </a:xfrm>
                    </a:grpSpPr>
                    <a:sp>
                      <a:nvSpPr>
                        <a:cNvPr id="143" name="Rectangle 142"/>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4" name="Straight Connector 153"/>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169" name="Group 168"/>
                      <a:cNvGrpSpPr/>
                    </a:nvGrpSpPr>
                    <a:grpSpPr>
                      <a:xfrm>
                        <a:off x="1259632" y="1844824"/>
                        <a:ext cx="216024" cy="360040"/>
                        <a:chOff x="827584" y="1484784"/>
                        <a:chExt cx="216024" cy="360040"/>
                      </a:xfrm>
                    </a:grpSpPr>
                    <a:sp>
                      <a:nvSpPr>
                        <a:cNvPr id="170" name="Rectangle 169"/>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1" name="Straight Connector 170"/>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174" name="Group 173"/>
                      <a:cNvGrpSpPr/>
                    </a:nvGrpSpPr>
                    <a:grpSpPr>
                      <a:xfrm>
                        <a:off x="683568" y="1988840"/>
                        <a:ext cx="216024" cy="360040"/>
                        <a:chOff x="827584" y="1484784"/>
                        <a:chExt cx="216024" cy="360040"/>
                      </a:xfrm>
                    </a:grpSpPr>
                    <a:sp>
                      <a:nvSpPr>
                        <a:cNvPr id="175" name="Rectangle 174"/>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6" name="Straight Connector 175"/>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sp>
                    <a:nvSpPr>
                      <a:cNvPr id="177" name="Oval 176"/>
                      <a:cNvSpPr/>
                    </a:nvSpPr>
                    <a:spPr>
                      <a:xfrm>
                        <a:off x="395536" y="1844824"/>
                        <a:ext cx="792088" cy="720080"/>
                      </a:xfrm>
                      <a:prstGeom prst="ellipse">
                        <a:avLst/>
                      </a:prstGeom>
                      <a:no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78" name="Group 177"/>
                      <a:cNvGrpSpPr/>
                    </a:nvGrpSpPr>
                    <a:grpSpPr>
                      <a:xfrm>
                        <a:off x="1475656" y="1268760"/>
                        <a:ext cx="216024" cy="360040"/>
                        <a:chOff x="827584" y="1484784"/>
                        <a:chExt cx="216024" cy="360040"/>
                      </a:xfrm>
                    </a:grpSpPr>
                    <a:sp>
                      <a:nvSpPr>
                        <a:cNvPr id="179" name="Rectangle 178"/>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80" name="Straight Connector 179"/>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sp>
                    <a:nvSpPr>
                      <a:cNvPr id="181" name="Oval 180"/>
                      <a:cNvSpPr/>
                    </a:nvSpPr>
                    <a:spPr>
                      <a:xfrm>
                        <a:off x="1187624" y="1124744"/>
                        <a:ext cx="792088" cy="720080"/>
                      </a:xfrm>
                      <a:prstGeom prst="ellipse">
                        <a:avLst/>
                      </a:prstGeom>
                      <a:no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Oval 181"/>
                      <a:cNvSpPr/>
                    </a:nvSpPr>
                    <a:spPr>
                      <a:xfrm>
                        <a:off x="2699792" y="1196752"/>
                        <a:ext cx="792088" cy="720080"/>
                      </a:xfrm>
                      <a:prstGeom prst="ellipse">
                        <a:avLst/>
                      </a:prstGeom>
                      <a:no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Oval 182"/>
                      <a:cNvSpPr/>
                    </a:nvSpPr>
                    <a:spPr>
                      <a:xfrm>
                        <a:off x="3131840" y="1700808"/>
                        <a:ext cx="792088" cy="720080"/>
                      </a:xfrm>
                      <a:prstGeom prst="ellipse">
                        <a:avLst/>
                      </a:prstGeom>
                      <a:no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84" name="Group 183"/>
                      <a:cNvGrpSpPr/>
                    </a:nvGrpSpPr>
                    <a:grpSpPr>
                      <a:xfrm>
                        <a:off x="2987824" y="1340768"/>
                        <a:ext cx="216024" cy="360040"/>
                        <a:chOff x="827584" y="1484784"/>
                        <a:chExt cx="216024" cy="360040"/>
                      </a:xfrm>
                    </a:grpSpPr>
                    <a:sp>
                      <a:nvSpPr>
                        <a:cNvPr id="185" name="Rectangle 184"/>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86" name="Straight Connector 185"/>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187" name="Group 186"/>
                      <a:cNvGrpSpPr/>
                    </a:nvGrpSpPr>
                    <a:grpSpPr>
                      <a:xfrm>
                        <a:off x="3419872" y="1844824"/>
                        <a:ext cx="216024" cy="360040"/>
                        <a:chOff x="827584" y="1484784"/>
                        <a:chExt cx="216024" cy="360040"/>
                      </a:xfrm>
                    </a:grpSpPr>
                    <a:sp>
                      <a:nvSpPr>
                        <a:cNvPr id="188" name="Rectangle 187"/>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89" name="Straight Connector 188"/>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190" name="Group 189"/>
                      <a:cNvGrpSpPr/>
                    </a:nvGrpSpPr>
                    <a:grpSpPr>
                      <a:xfrm>
                        <a:off x="2843808" y="1988840"/>
                        <a:ext cx="216024" cy="360040"/>
                        <a:chOff x="827584" y="1484784"/>
                        <a:chExt cx="216024" cy="360040"/>
                      </a:xfrm>
                    </a:grpSpPr>
                    <a:sp>
                      <a:nvSpPr>
                        <a:cNvPr id="191" name="Rectangle 190"/>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92" name="Straight Connector 191"/>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194" name="Group 193"/>
                      <a:cNvGrpSpPr/>
                    </a:nvGrpSpPr>
                    <a:grpSpPr>
                      <a:xfrm>
                        <a:off x="3635896" y="1268760"/>
                        <a:ext cx="216024" cy="360040"/>
                        <a:chOff x="827584" y="1484784"/>
                        <a:chExt cx="216024" cy="360040"/>
                      </a:xfrm>
                    </a:grpSpPr>
                    <a:sp>
                      <a:nvSpPr>
                        <a:cNvPr id="195" name="Rectangle 194"/>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96" name="Straight Connector 195"/>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sp>
                    <a:nvSpPr>
                      <a:cNvPr id="198" name="Oval 197"/>
                      <a:cNvSpPr/>
                    </a:nvSpPr>
                    <a:spPr>
                      <a:xfrm>
                        <a:off x="7236296" y="1844824"/>
                        <a:ext cx="792088" cy="720080"/>
                      </a:xfrm>
                      <a:prstGeom prst="ellipse">
                        <a:avLst/>
                      </a:prstGeom>
                      <a:solidFill>
                        <a:srgbClr val="92D050"/>
                      </a:solid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Oval 198"/>
                      <a:cNvSpPr/>
                    </a:nvSpPr>
                    <a:spPr>
                      <a:xfrm>
                        <a:off x="8028384" y="1124744"/>
                        <a:ext cx="792088" cy="720080"/>
                      </a:xfrm>
                      <a:prstGeom prst="ellipse">
                        <a:avLst/>
                      </a:prstGeom>
                      <a:solidFill>
                        <a:srgbClr val="92D050"/>
                      </a:solid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Oval 199"/>
                      <a:cNvSpPr/>
                    </a:nvSpPr>
                    <a:spPr>
                      <a:xfrm>
                        <a:off x="5220072" y="1196752"/>
                        <a:ext cx="792088" cy="720080"/>
                      </a:xfrm>
                      <a:prstGeom prst="ellipse">
                        <a:avLst/>
                      </a:prstGeom>
                      <a:solidFill>
                        <a:srgbClr val="92D050"/>
                      </a:solid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Oval 200"/>
                      <a:cNvSpPr/>
                    </a:nvSpPr>
                    <a:spPr>
                      <a:xfrm>
                        <a:off x="5652120" y="1700808"/>
                        <a:ext cx="792088" cy="720080"/>
                      </a:xfrm>
                      <a:prstGeom prst="ellipse">
                        <a:avLst/>
                      </a:prstGeom>
                      <a:solidFill>
                        <a:srgbClr val="92D050"/>
                      </a:solid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2" name="TextBox 201"/>
                      <a:cNvSpPr txBox="1"/>
                    </a:nvSpPr>
                    <a:spPr>
                      <a:xfrm>
                        <a:off x="6660232" y="1484784"/>
                        <a:ext cx="569387" cy="646331"/>
                      </a:xfrm>
                      <a:prstGeom prst="rect">
                        <a:avLst/>
                      </a:prstGeom>
                      <a:noFill/>
                    </a:spPr>
                    <a:txSp>
                      <a:txBody>
                        <a:bodyPr wrap="none" rtlCol="0">
                          <a:spAutoFit/>
                        </a:bodyPr>
                        <a:lstStyle>
                          <a:defPPr>
                            <a:defRPr lang="ja-JP"/>
                          </a:defPPr>
                          <a:lvl1pPr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1pPr>
                          <a:lvl2pPr marL="4572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2pPr>
                          <a:lvl3pPr marL="9144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3pPr>
                          <a:lvl4pPr marL="13716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4pPr>
                          <a:lvl5pPr marL="1828800" algn="l" rtl="0" eaLnBrk="0" fontAlgn="base" hangingPunct="0">
                            <a:spcBef>
                              <a:spcPct val="0"/>
                            </a:spcBef>
                            <a:spcAft>
                              <a:spcPct val="0"/>
                            </a:spcAft>
                            <a:defRPr kumimoji="1" kern="1200">
                              <a:solidFill>
                                <a:schemeClr val="tx1"/>
                              </a:solidFill>
                              <a:latin typeface="Arial" charset="0"/>
                              <a:ea typeface="ＭＳ Ｐゴシック" pitchFamily="50" charset="-128"/>
                              <a:cs typeface="+mn-cs"/>
                            </a:defRPr>
                          </a:lvl5pPr>
                          <a:lvl6pPr marL="2286000" algn="l" defTabSz="914400" rtl="0" eaLnBrk="1" latinLnBrk="0" hangingPunct="1">
                            <a:defRPr kumimoji="1" kern="1200">
                              <a:solidFill>
                                <a:schemeClr val="tx1"/>
                              </a:solidFill>
                              <a:latin typeface="Arial" charset="0"/>
                              <a:ea typeface="ＭＳ Ｐゴシック" pitchFamily="50" charset="-128"/>
                              <a:cs typeface="+mn-cs"/>
                            </a:defRPr>
                          </a:lvl6pPr>
                          <a:lvl7pPr marL="2743200" algn="l" defTabSz="914400" rtl="0" eaLnBrk="1" latinLnBrk="0" hangingPunct="1">
                            <a:defRPr kumimoji="1" kern="1200">
                              <a:solidFill>
                                <a:schemeClr val="tx1"/>
                              </a:solidFill>
                              <a:latin typeface="Arial" charset="0"/>
                              <a:ea typeface="ＭＳ Ｐゴシック" pitchFamily="50" charset="-128"/>
                              <a:cs typeface="+mn-cs"/>
                            </a:defRPr>
                          </a:lvl7pPr>
                          <a:lvl8pPr marL="3200400" algn="l" defTabSz="914400" rtl="0" eaLnBrk="1" latinLnBrk="0" hangingPunct="1">
                            <a:defRPr kumimoji="1" kern="1200">
                              <a:solidFill>
                                <a:schemeClr val="tx1"/>
                              </a:solidFill>
                              <a:latin typeface="Arial" charset="0"/>
                              <a:ea typeface="ＭＳ Ｐゴシック" pitchFamily="50" charset="-128"/>
                              <a:cs typeface="+mn-cs"/>
                            </a:defRPr>
                          </a:lvl8pPr>
                          <a:lvl9pPr marL="3657600" algn="l" defTabSz="914400" rtl="0" eaLnBrk="1" latinLnBrk="0" hangingPunct="1">
                            <a:defRPr kumimoji="1" kern="1200">
                              <a:solidFill>
                                <a:schemeClr val="tx1"/>
                              </a:solidFill>
                              <a:latin typeface="Arial" charset="0"/>
                              <a:ea typeface="ＭＳ Ｐゴシック" pitchFamily="50" charset="-128"/>
                              <a:cs typeface="+mn-cs"/>
                            </a:defRPr>
                          </a:lvl9pPr>
                        </a:lstStyle>
                        <a:p>
                          <a:r>
                            <a:rPr lang="sv-SE" sz="3600" dirty="0" smtClean="0"/>
                            <a:t>...</a:t>
                          </a:r>
                          <a:endParaRPr lang="en-GB" sz="3600" dirty="0"/>
                        </a:p>
                      </a:txBody>
                      <a:useSpRect/>
                    </a:txSp>
                  </a:sp>
                  <a:grpSp>
                    <a:nvGrpSpPr>
                      <a:cNvPr id="203" name="Group 202"/>
                      <a:cNvGrpSpPr/>
                    </a:nvGrpSpPr>
                    <a:grpSpPr>
                      <a:xfrm>
                        <a:off x="5508104" y="1340768"/>
                        <a:ext cx="216024" cy="360040"/>
                        <a:chOff x="827584" y="1484784"/>
                        <a:chExt cx="216024" cy="360040"/>
                      </a:xfrm>
                    </a:grpSpPr>
                    <a:sp>
                      <a:nvSpPr>
                        <a:cNvPr id="204" name="Rectangle 203"/>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5" name="Straight Connector 204"/>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206" name="Group 205"/>
                      <a:cNvGrpSpPr/>
                    </a:nvGrpSpPr>
                    <a:grpSpPr>
                      <a:xfrm>
                        <a:off x="5940152" y="1844824"/>
                        <a:ext cx="216024" cy="360040"/>
                        <a:chOff x="827584" y="1484784"/>
                        <a:chExt cx="216024" cy="360040"/>
                      </a:xfrm>
                    </a:grpSpPr>
                    <a:sp>
                      <a:nvSpPr>
                        <a:cNvPr id="207" name="Rectangle 206"/>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8" name="Straight Connector 207"/>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209" name="Group 208"/>
                      <a:cNvGrpSpPr/>
                    </a:nvGrpSpPr>
                    <a:grpSpPr>
                      <a:xfrm>
                        <a:off x="5364088" y="1988840"/>
                        <a:ext cx="216024" cy="360040"/>
                        <a:chOff x="827584" y="1484784"/>
                        <a:chExt cx="216024" cy="360040"/>
                      </a:xfrm>
                    </a:grpSpPr>
                    <a:sp>
                      <a:nvSpPr>
                        <a:cNvPr id="210" name="Rectangle 209"/>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11" name="Straight Connector 210"/>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sp>
                    <a:nvSpPr>
                      <a:cNvPr id="212" name="Oval 211"/>
                      <a:cNvSpPr/>
                    </a:nvSpPr>
                    <a:spPr>
                      <a:xfrm>
                        <a:off x="5076056" y="1844824"/>
                        <a:ext cx="792088" cy="720080"/>
                      </a:xfrm>
                      <a:prstGeom prst="ellipse">
                        <a:avLst/>
                      </a:prstGeom>
                      <a:no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13" name="Group 212"/>
                      <a:cNvGrpSpPr/>
                    </a:nvGrpSpPr>
                    <a:grpSpPr>
                      <a:xfrm>
                        <a:off x="6156176" y="1268760"/>
                        <a:ext cx="216024" cy="360040"/>
                        <a:chOff x="827584" y="1484784"/>
                        <a:chExt cx="216024" cy="360040"/>
                      </a:xfrm>
                    </a:grpSpPr>
                    <a:sp>
                      <a:nvSpPr>
                        <a:cNvPr id="214" name="Rectangle 213"/>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15" name="Straight Connector 214"/>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sp>
                    <a:nvSpPr>
                      <a:cNvPr id="216" name="Oval 215"/>
                      <a:cNvSpPr/>
                    </a:nvSpPr>
                    <a:spPr>
                      <a:xfrm>
                        <a:off x="5868144" y="1124744"/>
                        <a:ext cx="792088" cy="720080"/>
                      </a:xfrm>
                      <a:prstGeom prst="ellipse">
                        <a:avLst/>
                      </a:prstGeom>
                      <a:no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7" name="Oval 216"/>
                      <a:cNvSpPr/>
                    </a:nvSpPr>
                    <a:spPr>
                      <a:xfrm>
                        <a:off x="7380312" y="1196752"/>
                        <a:ext cx="792088" cy="720080"/>
                      </a:xfrm>
                      <a:prstGeom prst="ellipse">
                        <a:avLst/>
                      </a:prstGeom>
                      <a:no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8" name="Oval 217"/>
                      <a:cNvSpPr/>
                    </a:nvSpPr>
                    <a:spPr>
                      <a:xfrm>
                        <a:off x="7812360" y="1700808"/>
                        <a:ext cx="792088" cy="720080"/>
                      </a:xfrm>
                      <a:prstGeom prst="ellipse">
                        <a:avLst/>
                      </a:prstGeom>
                      <a:noFill/>
                      <a:ln w="19050">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19" name="Group 218"/>
                      <a:cNvGrpSpPr/>
                    </a:nvGrpSpPr>
                    <a:grpSpPr>
                      <a:xfrm>
                        <a:off x="7668344" y="1340768"/>
                        <a:ext cx="216024" cy="360040"/>
                        <a:chOff x="827584" y="1484784"/>
                        <a:chExt cx="216024" cy="360040"/>
                      </a:xfrm>
                    </a:grpSpPr>
                    <a:sp>
                      <a:nvSpPr>
                        <a:cNvPr id="220" name="Rectangle 219"/>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1" name="Straight Connector 220"/>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222" name="Group 221"/>
                      <a:cNvGrpSpPr/>
                    </a:nvGrpSpPr>
                    <a:grpSpPr>
                      <a:xfrm>
                        <a:off x="8100392" y="1844824"/>
                        <a:ext cx="216024" cy="360040"/>
                        <a:chOff x="827584" y="1484784"/>
                        <a:chExt cx="216024" cy="360040"/>
                      </a:xfrm>
                    </a:grpSpPr>
                    <a:sp>
                      <a:nvSpPr>
                        <a:cNvPr id="223" name="Rectangle 222"/>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4" name="Straight Connector 223"/>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226" name="Group 225"/>
                      <a:cNvGrpSpPr/>
                    </a:nvGrpSpPr>
                    <a:grpSpPr>
                      <a:xfrm>
                        <a:off x="7524328" y="1988840"/>
                        <a:ext cx="216024" cy="360040"/>
                        <a:chOff x="827584" y="1484784"/>
                        <a:chExt cx="216024" cy="360040"/>
                      </a:xfrm>
                    </a:grpSpPr>
                    <a:sp>
                      <a:nvSpPr>
                        <a:cNvPr id="228" name="Rectangle 227"/>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9" name="Straight Connector 228"/>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230" name="Group 229"/>
                      <a:cNvGrpSpPr/>
                    </a:nvGrpSpPr>
                    <a:grpSpPr>
                      <a:xfrm>
                        <a:off x="8316416" y="1268760"/>
                        <a:ext cx="216024" cy="360040"/>
                        <a:chOff x="827584" y="1484784"/>
                        <a:chExt cx="216024" cy="360040"/>
                      </a:xfrm>
                    </a:grpSpPr>
                    <a:sp>
                      <a:nvSpPr>
                        <a:cNvPr id="231" name="Rectangle 230"/>
                        <a:cNvSpPr/>
                      </a:nvSpPr>
                      <a:spPr>
                        <a:xfrm>
                          <a:off x="827584" y="1628800"/>
                          <a:ext cx="216024" cy="216024"/>
                        </a:xfrm>
                        <a:prstGeom prst="rect">
                          <a:avLst/>
                        </a:prstGeom>
                        <a:noFill/>
                        <a:ln>
                          <a:solidFill>
                            <a:schemeClr val="tx1"/>
                          </a:solidFill>
                        </a:ln>
                      </a:spPr>
                      <a:txSp>
                        <a:txBody>
                          <a:bodyPr rtlCol="0" anchor="ctr"/>
                          <a:lstStyle>
                            <a:defPPr>
                              <a:defRPr lang="ja-JP"/>
                            </a:defPPr>
                            <a:lvl1pPr algn="l" rtl="0" eaLnBrk="0" fontAlgn="base" hangingPunct="0">
                              <a:spcBef>
                                <a:spcPct val="0"/>
                              </a:spcBef>
                              <a:spcAft>
                                <a:spcPct val="0"/>
                              </a:spcAft>
                              <a:defRPr kumimoji="1" kern="1200">
                                <a:solidFill>
                                  <a:schemeClr val="lt1"/>
                                </a:solidFill>
                                <a:latin typeface="+mn-lt"/>
                                <a:ea typeface="+mn-ea"/>
                                <a:cs typeface="+mn-cs"/>
                              </a:defRPr>
                            </a:lvl1pPr>
                            <a:lvl2pPr marL="457200" algn="l" rtl="0" eaLnBrk="0" fontAlgn="base" hangingPunct="0">
                              <a:spcBef>
                                <a:spcPct val="0"/>
                              </a:spcBef>
                              <a:spcAft>
                                <a:spcPct val="0"/>
                              </a:spcAft>
                              <a:defRPr kumimoji="1" kern="1200">
                                <a:solidFill>
                                  <a:schemeClr val="lt1"/>
                                </a:solidFill>
                                <a:latin typeface="+mn-lt"/>
                                <a:ea typeface="+mn-ea"/>
                                <a:cs typeface="+mn-cs"/>
                              </a:defRPr>
                            </a:lvl2pPr>
                            <a:lvl3pPr marL="914400" algn="l" rtl="0" eaLnBrk="0" fontAlgn="base" hangingPunct="0">
                              <a:spcBef>
                                <a:spcPct val="0"/>
                              </a:spcBef>
                              <a:spcAft>
                                <a:spcPct val="0"/>
                              </a:spcAft>
                              <a:defRPr kumimoji="1" kern="1200">
                                <a:solidFill>
                                  <a:schemeClr val="lt1"/>
                                </a:solidFill>
                                <a:latin typeface="+mn-lt"/>
                                <a:ea typeface="+mn-ea"/>
                                <a:cs typeface="+mn-cs"/>
                              </a:defRPr>
                            </a:lvl3pPr>
                            <a:lvl4pPr marL="1371600" algn="l" rtl="0" eaLnBrk="0" fontAlgn="base" hangingPunct="0">
                              <a:spcBef>
                                <a:spcPct val="0"/>
                              </a:spcBef>
                              <a:spcAft>
                                <a:spcPct val="0"/>
                              </a:spcAft>
                              <a:defRPr kumimoji="1" kern="1200">
                                <a:solidFill>
                                  <a:schemeClr val="lt1"/>
                                </a:solidFill>
                                <a:latin typeface="+mn-lt"/>
                                <a:ea typeface="+mn-ea"/>
                                <a:cs typeface="+mn-cs"/>
                              </a:defRPr>
                            </a:lvl4pPr>
                            <a:lvl5pPr marL="1828800" algn="l" rtl="0" eaLnBrk="0" fontAlgn="base" hangingPunct="0">
                              <a:spcBef>
                                <a:spcPct val="0"/>
                              </a:spcBef>
                              <a:spcAft>
                                <a:spcPct val="0"/>
                              </a:spcAft>
                              <a:defRPr kumimoji="1" kern="1200">
                                <a:solidFill>
                                  <a:schemeClr val="lt1"/>
                                </a:solidFill>
                                <a:latin typeface="+mn-lt"/>
                                <a:ea typeface="+mn-ea"/>
                                <a:cs typeface="+mn-cs"/>
                              </a:defRPr>
                            </a:lvl5pPr>
                            <a:lvl6pPr marL="2286000" algn="l" defTabSz="914400" rtl="0" eaLnBrk="1" latinLnBrk="0" hangingPunct="1">
                              <a:defRPr kumimoji="1" kern="1200">
                                <a:solidFill>
                                  <a:schemeClr val="lt1"/>
                                </a:solidFill>
                                <a:latin typeface="+mn-lt"/>
                                <a:ea typeface="+mn-ea"/>
                                <a:cs typeface="+mn-cs"/>
                              </a:defRPr>
                            </a:lvl6pPr>
                            <a:lvl7pPr marL="2743200" algn="l" defTabSz="914400" rtl="0" eaLnBrk="1" latinLnBrk="0" hangingPunct="1">
                              <a:defRPr kumimoji="1" kern="1200">
                                <a:solidFill>
                                  <a:schemeClr val="lt1"/>
                                </a:solidFill>
                                <a:latin typeface="+mn-lt"/>
                                <a:ea typeface="+mn-ea"/>
                                <a:cs typeface="+mn-cs"/>
                              </a:defRPr>
                            </a:lvl7pPr>
                            <a:lvl8pPr marL="3200400" algn="l" defTabSz="914400" rtl="0" eaLnBrk="1" latinLnBrk="0" hangingPunct="1">
                              <a:defRPr kumimoji="1" kern="1200">
                                <a:solidFill>
                                  <a:schemeClr val="lt1"/>
                                </a:solidFill>
                                <a:latin typeface="+mn-lt"/>
                                <a:ea typeface="+mn-ea"/>
                                <a:cs typeface="+mn-cs"/>
                              </a:defRPr>
                            </a:lvl8pPr>
                            <a:lvl9pPr marL="3657600" algn="l" defTabSz="914400" rtl="0" eaLnBrk="1" latinLnBrk="0" hangingPunct="1">
                              <a:defRPr kumimoji="1"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32" name="Straight Connector 231"/>
                        <a:cNvCxnSpPr/>
                      </a:nvCxnSpPr>
                      <a:spPr>
                        <a:xfrm>
                          <a:off x="935596" y="1484784"/>
                          <a:ext cx="0" cy="144016"/>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221CE3" w:rsidRDefault="00221CE3" w:rsidP="00221CE3">
      <w:pPr>
        <w:pStyle w:val="Caption"/>
      </w:pPr>
      <w:bookmarkStart w:id="4" w:name="_Ref458710963"/>
      <w:r>
        <w:t xml:space="preserve">Figure </w:t>
      </w:r>
      <w:fldSimple w:instr=" SEQ Figure \* ARABIC ">
        <w:r w:rsidR="00323413">
          <w:rPr>
            <w:noProof/>
          </w:rPr>
          <w:t>2</w:t>
        </w:r>
      </w:fldSimple>
      <w:bookmarkEnd w:id="4"/>
      <w:r>
        <w:t xml:space="preserve">: </w:t>
      </w:r>
      <w:r w:rsidR="001F1686">
        <w:t>In this example, the beams correspond to different TRPs.</w:t>
      </w:r>
      <w:r w:rsidR="001649A2">
        <w:t xml:space="preserve"> Otherwise, association etc. works as in</w:t>
      </w:r>
      <w:r w:rsidR="0099660F">
        <w:t xml:space="preserve"> </w:t>
      </w:r>
      <w:r w:rsidR="00E77F26">
        <w:fldChar w:fldCharType="begin"/>
      </w:r>
      <w:r w:rsidR="0099660F">
        <w:instrText xml:space="preserve"> REF _Ref458709262 \r \h </w:instrText>
      </w:r>
      <w:r w:rsidR="00E77F26">
        <w:fldChar w:fldCharType="separate"/>
      </w:r>
      <w:r w:rsidR="00323413">
        <w:t>[2]</w:t>
      </w:r>
      <w:r w:rsidR="00E77F26">
        <w:fldChar w:fldCharType="end"/>
      </w:r>
      <w:r w:rsidR="001649A2">
        <w:t>.</w:t>
      </w:r>
    </w:p>
    <w:p w:rsidR="0099660F" w:rsidRPr="0099660F" w:rsidRDefault="00E77F26" w:rsidP="0099660F">
      <w:pPr>
        <w:rPr>
          <w:lang w:val="en-GB" w:eastAsia="en-US"/>
        </w:rPr>
      </w:pPr>
      <w:r>
        <w:rPr>
          <w:lang w:val="en-GB" w:eastAsia="en-US"/>
        </w:rPr>
        <w:fldChar w:fldCharType="begin"/>
      </w:r>
      <w:r w:rsidR="0099660F">
        <w:rPr>
          <w:lang w:val="en-GB" w:eastAsia="en-US"/>
        </w:rPr>
        <w:instrText xml:space="preserve"> REF _Ref458710963 \h </w:instrText>
      </w:r>
      <w:r>
        <w:rPr>
          <w:lang w:val="en-GB" w:eastAsia="en-US"/>
        </w:rPr>
      </w:r>
      <w:r>
        <w:rPr>
          <w:lang w:val="en-GB" w:eastAsia="en-US"/>
        </w:rPr>
        <w:fldChar w:fldCharType="separate"/>
      </w:r>
      <w:r w:rsidR="00323413">
        <w:t xml:space="preserve">Figure </w:t>
      </w:r>
      <w:r w:rsidR="00323413">
        <w:rPr>
          <w:noProof/>
        </w:rPr>
        <w:t>2</w:t>
      </w:r>
      <w:r>
        <w:rPr>
          <w:lang w:val="en-GB" w:eastAsia="en-US"/>
        </w:rPr>
        <w:fldChar w:fldCharType="end"/>
      </w:r>
      <w:r w:rsidR="0099660F">
        <w:rPr>
          <w:lang w:val="en-GB" w:eastAsia="en-US"/>
        </w:rPr>
        <w:t xml:space="preserve"> illustrates </w:t>
      </w:r>
      <w:r w:rsidR="0099686B">
        <w:rPr>
          <w:lang w:val="en-GB" w:eastAsia="en-US"/>
        </w:rPr>
        <w:t>the association between the best beam and random access resources subset and corresponding RAR resources. Note that the B BRS corresponding to the B beams may be transmitted in single sweeping block if possible. Also the UL sweeping time interval may be a single UL sweeping block. In that case, the resource subsets could be distinguished by different preambles.</w:t>
      </w:r>
    </w:p>
    <w:p w:rsidR="007A12CD" w:rsidRDefault="007A12CD" w:rsidP="007A12CD">
      <w:pPr>
        <w:pStyle w:val="Heading4"/>
        <w:ind w:left="851" w:hanging="851"/>
        <w:rPr>
          <w:rFonts w:eastAsia="SimHei"/>
        </w:rPr>
      </w:pPr>
      <w:r>
        <w:rPr>
          <w:rFonts w:eastAsia="SimHei"/>
        </w:rPr>
        <w:t>Random Access Preamble</w:t>
      </w:r>
    </w:p>
    <w:p w:rsidR="007612C7" w:rsidRDefault="007612C7" w:rsidP="007E09CE">
      <w:pPr>
        <w:spacing w:line="276" w:lineRule="auto"/>
      </w:pPr>
      <w:r>
        <w:t>Similarly as with reciprocity in BS only (for multi-beam)</w:t>
      </w:r>
      <w:r w:rsidR="0099686B">
        <w:t xml:space="preserve">, as in </w:t>
      </w:r>
      <w:r w:rsidR="00E77F26">
        <w:fldChar w:fldCharType="begin"/>
      </w:r>
      <w:r w:rsidR="0099686B">
        <w:instrText xml:space="preserve"> REF _Ref458709262 \r \h </w:instrText>
      </w:r>
      <w:r w:rsidR="00E77F26">
        <w:fldChar w:fldCharType="separate"/>
      </w:r>
      <w:r w:rsidR="00323413">
        <w:t>[2]</w:t>
      </w:r>
      <w:r w:rsidR="00E77F26">
        <w:fldChar w:fldCharType="end"/>
      </w:r>
      <w:r>
        <w:t>. The selected random access resource</w:t>
      </w:r>
      <w:r w:rsidR="0099686B">
        <w:t xml:space="preserve"> subset</w:t>
      </w:r>
      <w:r>
        <w:t xml:space="preserve"> (time, frequency and preamble) is associated with the best TRP. Hence, only the best TRP needs to receive and detect preamble</w:t>
      </w:r>
      <w:r w:rsidR="0099686B">
        <w:t xml:space="preserve">s on the selected </w:t>
      </w:r>
      <w:r>
        <w:t>resource</w:t>
      </w:r>
      <w:r w:rsidR="0099686B">
        <w:t xml:space="preserve"> subset</w:t>
      </w:r>
      <w:r>
        <w:t xml:space="preserve">. Unless the UE can use reciprocity, the UE doesn’t know the best UE Tx beam yet, so it may need to repeat the preamble transmission on the selected random access resource using different UE Tx beams, until a RAR is received. </w:t>
      </w:r>
    </w:p>
    <w:p w:rsidR="007612C7" w:rsidRDefault="0099686B" w:rsidP="007E09CE">
      <w:pPr>
        <w:spacing w:line="276" w:lineRule="auto"/>
      </w:pPr>
      <w:r>
        <w:t>T</w:t>
      </w:r>
      <w:r w:rsidR="007612C7">
        <w:t>he TRP can note the index of the resource on which the preamble was detected. The best UE Tx beam was used on this resource, or at least a sufficiently good UE Tx beam if the repetition was terminated. The TRP also learn</w:t>
      </w:r>
      <w:r w:rsidR="00DE0E67">
        <w:rPr>
          <w:rFonts w:hint="eastAsia"/>
        </w:rPr>
        <w:t>s</w:t>
      </w:r>
      <w:r w:rsidR="007612C7">
        <w:t xml:space="preserve"> that it is the best TRP for the UE, which can have several benefits:</w:t>
      </w:r>
    </w:p>
    <w:p w:rsidR="007612C7" w:rsidRDefault="007612C7" w:rsidP="007E09CE">
      <w:pPr>
        <w:pStyle w:val="ListParagraph"/>
        <w:numPr>
          <w:ilvl w:val="0"/>
          <w:numId w:val="15"/>
        </w:numPr>
        <w:spacing w:line="276" w:lineRule="auto"/>
        <w:ind w:firstLineChars="0"/>
      </w:pPr>
      <w:r>
        <w:t xml:space="preserve">The TRP can </w:t>
      </w:r>
      <w:r w:rsidR="00B96941">
        <w:t>by itself decide to rapidly respond with a RAR, without coordinating with other TRPs over the non-ideal backhaul. This can help reduce random access latency.</w:t>
      </w:r>
    </w:p>
    <w:p w:rsidR="00B96941" w:rsidRDefault="00B96941" w:rsidP="007E09CE">
      <w:pPr>
        <w:pStyle w:val="ListParagraph"/>
        <w:numPr>
          <w:ilvl w:val="0"/>
          <w:numId w:val="15"/>
        </w:numPr>
        <w:spacing w:line="276" w:lineRule="auto"/>
        <w:ind w:firstLineChars="0"/>
      </w:pPr>
      <w:r>
        <w:t>The TRP can sleep du</w:t>
      </w:r>
      <w:r w:rsidR="00FD738C">
        <w:t>ring the random access resource subsets</w:t>
      </w:r>
      <w:r>
        <w:t xml:space="preserve"> used by UEs that are closer to other TRPs. Additionally, less random access detection operations have to be performed. This can help improve network energy efficiency. </w:t>
      </w:r>
    </w:p>
    <w:p w:rsidR="00596953" w:rsidRDefault="00B96941" w:rsidP="007E09CE">
      <w:pPr>
        <w:spacing w:line="276" w:lineRule="auto"/>
      </w:pPr>
      <w:r>
        <w:lastRenderedPageBreak/>
        <w:t>More elaborate schemes to quickly set up CoMP operation are also possible. For example, different BRS may be jointly transmitted by different groups of TRPs that are eligible for joint transmission. Then</w:t>
      </w:r>
      <w:r w:rsidR="00BE3E7A">
        <w:t>, the TRPs in the same group try</w:t>
      </w:r>
      <w:r>
        <w:t xml:space="preserve"> to detect the same random access preambles. Immediately after preamble detection, the group of TRPs can start the CoMP operation and setup.</w:t>
      </w:r>
    </w:p>
    <w:p w:rsidR="00274312" w:rsidRPr="00766685" w:rsidRDefault="00274312" w:rsidP="00274312">
      <w:pPr>
        <w:pStyle w:val="Heading4"/>
        <w:ind w:left="851" w:hanging="851"/>
        <w:rPr>
          <w:rFonts w:eastAsia="SimHei"/>
        </w:rPr>
      </w:pPr>
      <w:r>
        <w:rPr>
          <w:rFonts w:eastAsia="SimHei"/>
        </w:rPr>
        <w:t>Random Access Response (RAR)</w:t>
      </w:r>
    </w:p>
    <w:p w:rsidR="00274312" w:rsidRDefault="00274312" w:rsidP="007E09CE">
      <w:pPr>
        <w:spacing w:line="276" w:lineRule="auto"/>
      </w:pPr>
      <w:r>
        <w:t>As with reciprocity in BS only (for multi-beam)</w:t>
      </w:r>
      <w:r w:rsidR="00B53008">
        <w:t xml:space="preserve">, as in </w:t>
      </w:r>
      <w:r w:rsidR="00E77F26">
        <w:fldChar w:fldCharType="begin"/>
      </w:r>
      <w:r w:rsidR="00B53008">
        <w:instrText xml:space="preserve"> REF _Ref458709262 \r \h </w:instrText>
      </w:r>
      <w:r w:rsidR="00E77F26">
        <w:fldChar w:fldCharType="separate"/>
      </w:r>
      <w:r w:rsidR="00323413">
        <w:t>[2]</w:t>
      </w:r>
      <w:r w:rsidR="00E77F26">
        <w:fldChar w:fldCharType="end"/>
      </w:r>
      <w:r>
        <w:t>. The best TRP can directly respond to the UE. There is no need to exchange preamble measurement results over the non-ideal backhaul with the other TRPs in order to conclude which TRP that is the best.</w:t>
      </w:r>
    </w:p>
    <w:p w:rsidR="00FC093A" w:rsidRDefault="00A569A4" w:rsidP="009F14C0">
      <w:pPr>
        <w:pStyle w:val="Heading1"/>
        <w:keepNext w:val="0"/>
        <w:keepLines w:val="0"/>
        <w:widowControl w:val="0"/>
        <w:pBdr>
          <w:top w:val="none" w:sz="0" w:space="0" w:color="auto"/>
        </w:pBdr>
        <w:autoSpaceDE w:val="0"/>
        <w:autoSpaceDN w:val="0"/>
        <w:adjustRightInd w:val="0"/>
        <w:spacing w:beforeLines="100" w:afterLines="50" w:line="360" w:lineRule="auto"/>
        <w:ind w:left="431" w:hanging="431"/>
        <w:rPr>
          <w:rFonts w:eastAsia="SimHei"/>
          <w:b/>
          <w:bCs/>
          <w:sz w:val="32"/>
          <w:szCs w:val="30"/>
          <w:lang w:val="en-US" w:eastAsia="zh-CN"/>
        </w:rPr>
      </w:pPr>
      <w:r w:rsidRPr="007D6632">
        <w:rPr>
          <w:rFonts w:eastAsia="SimHei"/>
          <w:b/>
          <w:bCs/>
          <w:sz w:val="32"/>
          <w:szCs w:val="30"/>
          <w:lang w:val="en-US" w:eastAsia="zh-CN"/>
        </w:rPr>
        <w:t>Conclusions</w:t>
      </w:r>
    </w:p>
    <w:p w:rsidR="00B53008" w:rsidRDefault="00B53008" w:rsidP="00B53008">
      <w:r>
        <w:t xml:space="preserve">This contribution described </w:t>
      </w:r>
      <w:r w:rsidR="00FD738C">
        <w:t>the benefits of applying the beamformed random access framework to the scenario with distributed TRPs with non-ideal backhaul.</w:t>
      </w:r>
    </w:p>
    <w:p w:rsidR="00FD738C" w:rsidRPr="00FD738C" w:rsidRDefault="00FD738C" w:rsidP="00FD738C">
      <w:pPr>
        <w:pStyle w:val="Caption"/>
        <w:spacing w:line="276" w:lineRule="auto"/>
      </w:pPr>
      <w:r>
        <w:t xml:space="preserve">Proposal 1: For the scenario with </w:t>
      </w:r>
      <w:r w:rsidR="00665A64">
        <w:t xml:space="preserve">multiple </w:t>
      </w:r>
      <w:r>
        <w:t xml:space="preserve">TRPs </w:t>
      </w:r>
      <w:r w:rsidR="0080661D">
        <w:t xml:space="preserve">operating with the same cell ID, </w:t>
      </w:r>
      <w:r w:rsidR="00665A64">
        <w:t xml:space="preserve">the random access resource (time, frequency and preamble index) of </w:t>
      </w:r>
      <w:r w:rsidR="0080661D">
        <w:t>a detected preamble should indicate which TRP that is received with highest RSRP at the UE</w:t>
      </w:r>
      <w:r>
        <w:t>.</w:t>
      </w:r>
    </w:p>
    <w:p w:rsidR="00FC093A" w:rsidRDefault="00A569A4" w:rsidP="009F14C0">
      <w:pPr>
        <w:pStyle w:val="Heading1"/>
        <w:keepNext w:val="0"/>
        <w:keepLines w:val="0"/>
        <w:widowControl w:val="0"/>
        <w:pBdr>
          <w:top w:val="none" w:sz="0" w:space="0" w:color="auto"/>
        </w:pBdr>
        <w:autoSpaceDE w:val="0"/>
        <w:autoSpaceDN w:val="0"/>
        <w:adjustRightInd w:val="0"/>
        <w:spacing w:beforeLines="100" w:afterLines="50" w:line="360" w:lineRule="auto"/>
        <w:ind w:left="431" w:hanging="431"/>
        <w:rPr>
          <w:rFonts w:eastAsia="SimHei"/>
          <w:b/>
          <w:bCs/>
          <w:sz w:val="32"/>
          <w:szCs w:val="30"/>
          <w:lang w:val="en-US" w:eastAsia="zh-CN"/>
        </w:rPr>
      </w:pPr>
      <w:r w:rsidRPr="007D6632">
        <w:rPr>
          <w:rFonts w:eastAsia="SimHei"/>
          <w:b/>
          <w:bCs/>
          <w:sz w:val="32"/>
          <w:szCs w:val="30"/>
          <w:lang w:val="en-US" w:eastAsia="zh-CN"/>
        </w:rPr>
        <w:t>References</w:t>
      </w:r>
    </w:p>
    <w:p w:rsidR="00766685" w:rsidRPr="000C4889" w:rsidRDefault="000E67AD" w:rsidP="00766685">
      <w:pPr>
        <w:pStyle w:val="ListParagraph"/>
        <w:numPr>
          <w:ilvl w:val="0"/>
          <w:numId w:val="11"/>
        </w:numPr>
        <w:ind w:left="426" w:firstLineChars="0"/>
        <w:rPr>
          <w:iCs/>
          <w:szCs w:val="20"/>
        </w:rPr>
      </w:pPr>
      <w:bookmarkStart w:id="5" w:name="_Ref457402540"/>
      <w:r>
        <w:rPr>
          <w:iCs/>
          <w:szCs w:val="20"/>
        </w:rPr>
        <w:t xml:space="preserve">R1-16xxxx, </w:t>
      </w:r>
      <w:r w:rsidR="00CC0223">
        <w:rPr>
          <w:iCs/>
          <w:szCs w:val="20"/>
        </w:rPr>
        <w:t>“</w:t>
      </w:r>
      <w:r w:rsidRPr="000E67AD">
        <w:rPr>
          <w:iCs/>
          <w:szCs w:val="20"/>
        </w:rPr>
        <w:t>Draft Report of 3GPP TSG RAN WG1 #85</w:t>
      </w:r>
      <w:r w:rsidR="00C76818">
        <w:rPr>
          <w:iCs/>
          <w:szCs w:val="20"/>
        </w:rPr>
        <w:t>,</w:t>
      </w:r>
      <w:r w:rsidR="00CC0223">
        <w:rPr>
          <w:iCs/>
          <w:szCs w:val="20"/>
        </w:rPr>
        <w:t>”</w:t>
      </w:r>
      <w:r>
        <w:rPr>
          <w:iCs/>
          <w:szCs w:val="20"/>
        </w:rPr>
        <w:t xml:space="preserve"> v0.1.0</w:t>
      </w:r>
      <w:r w:rsidR="00F34BB3">
        <w:rPr>
          <w:iCs/>
          <w:szCs w:val="20"/>
        </w:rPr>
        <w:t>, RAN1#86, Aug 2016</w:t>
      </w:r>
      <w:bookmarkStart w:id="6" w:name="_Ref457382552"/>
      <w:bookmarkEnd w:id="5"/>
      <w:r w:rsidR="00766685" w:rsidRPr="00766685">
        <w:rPr>
          <w:rFonts w:eastAsia="MS Mincho"/>
          <w:szCs w:val="20"/>
          <w:lang w:eastAsia="ja-JP"/>
        </w:rPr>
        <w:t xml:space="preserve"> </w:t>
      </w:r>
    </w:p>
    <w:p w:rsidR="000C4889" w:rsidRPr="00766685" w:rsidRDefault="000C4889" w:rsidP="00766685">
      <w:pPr>
        <w:pStyle w:val="ListParagraph"/>
        <w:numPr>
          <w:ilvl w:val="0"/>
          <w:numId w:val="11"/>
        </w:numPr>
        <w:ind w:left="426" w:firstLineChars="0"/>
        <w:rPr>
          <w:iCs/>
          <w:szCs w:val="20"/>
        </w:rPr>
      </w:pPr>
      <w:bookmarkStart w:id="7" w:name="_Ref458709262"/>
      <w:r>
        <w:rPr>
          <w:rFonts w:eastAsia="MS Mincho"/>
          <w:szCs w:val="20"/>
          <w:lang w:eastAsia="ja-JP"/>
        </w:rPr>
        <w:t>R1-166419, “</w:t>
      </w:r>
      <w:r w:rsidRPr="000C4889">
        <w:rPr>
          <w:rFonts w:eastAsia="MS Mincho"/>
          <w:szCs w:val="20"/>
          <w:lang w:eastAsia="ja-JP"/>
        </w:rPr>
        <w:t>Beamformed Random Access in NR</w:t>
      </w:r>
      <w:r>
        <w:rPr>
          <w:rFonts w:eastAsia="MS Mincho"/>
          <w:szCs w:val="20"/>
          <w:lang w:eastAsia="ja-JP"/>
        </w:rPr>
        <w:t>”, ZTE, RAN1#86, Aug 2016</w:t>
      </w:r>
      <w:bookmarkEnd w:id="7"/>
    </w:p>
    <w:p w:rsidR="00766685" w:rsidRPr="008F0F45" w:rsidRDefault="00766685" w:rsidP="00766685">
      <w:pPr>
        <w:pStyle w:val="ListParagraph"/>
        <w:numPr>
          <w:ilvl w:val="0"/>
          <w:numId w:val="11"/>
        </w:numPr>
        <w:ind w:left="426" w:firstLineChars="0"/>
        <w:rPr>
          <w:iCs/>
          <w:szCs w:val="20"/>
        </w:rPr>
      </w:pPr>
      <w:r>
        <w:rPr>
          <w:rFonts w:eastAsia="MS Mincho"/>
          <w:szCs w:val="20"/>
          <w:lang w:eastAsia="ja-JP"/>
        </w:rPr>
        <w:t>R1-164013, “</w:t>
      </w:r>
      <w:r w:rsidRPr="00006104">
        <w:rPr>
          <w:rFonts w:eastAsia="MS Mincho"/>
          <w:szCs w:val="20"/>
          <w:lang w:eastAsia="ja-JP"/>
        </w:rPr>
        <w:t xml:space="preserve">Framework for </w:t>
      </w:r>
      <w:r>
        <w:rPr>
          <w:rFonts w:eastAsia="MS Mincho"/>
          <w:szCs w:val="20"/>
          <w:lang w:eastAsia="ja-JP"/>
        </w:rPr>
        <w:t>B</w:t>
      </w:r>
      <w:r w:rsidRPr="00006104">
        <w:rPr>
          <w:rFonts w:eastAsia="MS Mincho"/>
          <w:szCs w:val="20"/>
          <w:lang w:eastAsia="ja-JP"/>
        </w:rPr>
        <w:t xml:space="preserve">eamformed </w:t>
      </w:r>
      <w:r>
        <w:rPr>
          <w:rFonts w:eastAsia="MS Mincho"/>
          <w:szCs w:val="20"/>
          <w:lang w:eastAsia="ja-JP"/>
        </w:rPr>
        <w:t>A</w:t>
      </w:r>
      <w:r w:rsidRPr="00006104">
        <w:rPr>
          <w:rFonts w:eastAsia="MS Mincho"/>
          <w:szCs w:val="20"/>
          <w:lang w:eastAsia="ja-JP"/>
        </w:rPr>
        <w:t>ccess</w:t>
      </w:r>
      <w:r>
        <w:rPr>
          <w:rFonts w:eastAsia="MS Mincho"/>
          <w:szCs w:val="20"/>
          <w:lang w:eastAsia="ja-JP"/>
        </w:rPr>
        <w:t>”, Samsung, RAN1#85, May 2016</w:t>
      </w:r>
      <w:bookmarkEnd w:id="6"/>
    </w:p>
    <w:p w:rsidR="00766685" w:rsidRPr="008F0F45" w:rsidRDefault="00766685" w:rsidP="00766685">
      <w:pPr>
        <w:pStyle w:val="ListParagraph"/>
        <w:numPr>
          <w:ilvl w:val="0"/>
          <w:numId w:val="11"/>
        </w:numPr>
        <w:ind w:left="426" w:firstLineChars="0"/>
        <w:rPr>
          <w:iCs/>
          <w:szCs w:val="20"/>
        </w:rPr>
      </w:pPr>
      <w:bookmarkStart w:id="8" w:name="_Ref457384069"/>
      <w:r>
        <w:rPr>
          <w:rFonts w:eastAsia="MS Mincho"/>
          <w:szCs w:val="20"/>
          <w:lang w:eastAsia="ja-JP"/>
        </w:rPr>
        <w:t>R1-165364, “</w:t>
      </w:r>
      <w:r w:rsidRPr="008F0F45">
        <w:rPr>
          <w:rFonts w:eastAsia="MS Mincho"/>
          <w:szCs w:val="20"/>
          <w:lang w:eastAsia="ja-JP"/>
        </w:rPr>
        <w:t>Support for Beam Based Common Control Plane</w:t>
      </w:r>
      <w:r>
        <w:rPr>
          <w:rFonts w:eastAsia="MS Mincho"/>
          <w:szCs w:val="20"/>
          <w:lang w:eastAsia="ja-JP"/>
        </w:rPr>
        <w:t>”, Nokia, Alcatel-Lucent Shanghai Bell, RAN1#85, May 2016</w:t>
      </w:r>
      <w:bookmarkEnd w:id="8"/>
    </w:p>
    <w:p w:rsidR="00766685" w:rsidRDefault="00766685" w:rsidP="00766685">
      <w:pPr>
        <w:pStyle w:val="ListParagraph"/>
        <w:numPr>
          <w:ilvl w:val="0"/>
          <w:numId w:val="11"/>
        </w:numPr>
        <w:ind w:left="426" w:firstLineChars="0"/>
        <w:rPr>
          <w:iCs/>
          <w:szCs w:val="20"/>
        </w:rPr>
      </w:pPr>
      <w:bookmarkStart w:id="9" w:name="_Ref457384714"/>
      <w:r>
        <w:rPr>
          <w:iCs/>
          <w:szCs w:val="20"/>
        </w:rPr>
        <w:t>R2-163372, “</w:t>
      </w:r>
      <w:r w:rsidRPr="0038630E">
        <w:rPr>
          <w:iCs/>
          <w:szCs w:val="20"/>
        </w:rPr>
        <w:t>Random Access Procedure in NR</w:t>
      </w:r>
      <w:r>
        <w:rPr>
          <w:iCs/>
          <w:szCs w:val="20"/>
        </w:rPr>
        <w:t>”, Samsung, RAN2#94, May 2016</w:t>
      </w:r>
      <w:bookmarkEnd w:id="9"/>
    </w:p>
    <w:p w:rsidR="000C4889" w:rsidRDefault="0038320D" w:rsidP="00766685">
      <w:pPr>
        <w:pStyle w:val="ListParagraph"/>
        <w:numPr>
          <w:ilvl w:val="0"/>
          <w:numId w:val="11"/>
        </w:numPr>
        <w:ind w:left="426" w:firstLineChars="0"/>
        <w:rPr>
          <w:iCs/>
          <w:szCs w:val="20"/>
        </w:rPr>
      </w:pPr>
      <w:bookmarkStart w:id="10" w:name="_Ref458709518"/>
      <w:r>
        <w:rPr>
          <w:iCs/>
          <w:szCs w:val="20"/>
        </w:rPr>
        <w:t>R2-</w:t>
      </w:r>
      <w:r w:rsidRPr="0038320D">
        <w:rPr>
          <w:iCs/>
          <w:szCs w:val="20"/>
        </w:rPr>
        <w:t>165110</w:t>
      </w:r>
      <w:r w:rsidR="000C4889">
        <w:rPr>
          <w:iCs/>
          <w:szCs w:val="20"/>
        </w:rPr>
        <w:t>, “</w:t>
      </w:r>
      <w:r w:rsidR="000C4889" w:rsidRPr="000C4889">
        <w:rPr>
          <w:iCs/>
          <w:szCs w:val="20"/>
        </w:rPr>
        <w:t>NR Random access UE procedure</w:t>
      </w:r>
      <w:r w:rsidR="000C4889">
        <w:rPr>
          <w:iCs/>
          <w:szCs w:val="20"/>
        </w:rPr>
        <w:t>”, ZTE, RAN2#95, Aug 2016</w:t>
      </w:r>
      <w:bookmarkEnd w:id="10"/>
    </w:p>
    <w:p w:rsidR="00766685" w:rsidRDefault="00384580" w:rsidP="00766685">
      <w:pPr>
        <w:pStyle w:val="ListParagraph"/>
        <w:numPr>
          <w:ilvl w:val="0"/>
          <w:numId w:val="11"/>
        </w:numPr>
        <w:ind w:left="426" w:firstLineChars="0"/>
        <w:rPr>
          <w:iCs/>
          <w:szCs w:val="20"/>
        </w:rPr>
      </w:pPr>
      <w:bookmarkStart w:id="11" w:name="_Ref457731134"/>
      <w:r>
        <w:rPr>
          <w:iCs/>
          <w:szCs w:val="20"/>
        </w:rPr>
        <w:t>R1-166418</w:t>
      </w:r>
      <w:r w:rsidR="00766685">
        <w:rPr>
          <w:iCs/>
          <w:szCs w:val="20"/>
        </w:rPr>
        <w:t>, “</w:t>
      </w:r>
      <w:r w:rsidR="0043128D" w:rsidRPr="0043128D">
        <w:rPr>
          <w:iCs/>
          <w:szCs w:val="20"/>
        </w:rPr>
        <w:t>Design considerations for DL sweeping time interval in NR</w:t>
      </w:r>
      <w:r w:rsidR="00766685">
        <w:rPr>
          <w:iCs/>
          <w:szCs w:val="20"/>
        </w:rPr>
        <w:t>”, ZTE, RAN1#86, Aug 2016</w:t>
      </w:r>
      <w:bookmarkEnd w:id="11"/>
    </w:p>
    <w:p w:rsidR="000E67AD" w:rsidRPr="007A12CD" w:rsidRDefault="00384580" w:rsidP="007A12CD">
      <w:pPr>
        <w:pStyle w:val="ListParagraph"/>
        <w:numPr>
          <w:ilvl w:val="0"/>
          <w:numId w:val="11"/>
        </w:numPr>
        <w:ind w:left="426" w:firstLineChars="0"/>
        <w:rPr>
          <w:iCs/>
          <w:szCs w:val="20"/>
        </w:rPr>
      </w:pPr>
      <w:bookmarkStart w:id="12" w:name="_Ref457731934"/>
      <w:r>
        <w:rPr>
          <w:iCs/>
          <w:szCs w:val="20"/>
        </w:rPr>
        <w:t>R1-166417</w:t>
      </w:r>
      <w:r w:rsidR="00766685">
        <w:rPr>
          <w:iCs/>
          <w:szCs w:val="20"/>
        </w:rPr>
        <w:t>, “</w:t>
      </w:r>
      <w:r w:rsidR="0043128D" w:rsidRPr="0043128D">
        <w:rPr>
          <w:iCs/>
          <w:szCs w:val="20"/>
        </w:rPr>
        <w:t>Overview of NR initial access</w:t>
      </w:r>
      <w:r w:rsidR="00766685">
        <w:rPr>
          <w:iCs/>
          <w:szCs w:val="20"/>
        </w:rPr>
        <w:t>”,</w:t>
      </w:r>
      <w:r w:rsidR="00766685" w:rsidRPr="000F06B4">
        <w:rPr>
          <w:iCs/>
          <w:szCs w:val="20"/>
        </w:rPr>
        <w:t xml:space="preserve"> </w:t>
      </w:r>
      <w:r>
        <w:rPr>
          <w:iCs/>
          <w:szCs w:val="20"/>
        </w:rPr>
        <w:t>ZTE, RAN1</w:t>
      </w:r>
      <w:r w:rsidR="00766685">
        <w:rPr>
          <w:iCs/>
          <w:szCs w:val="20"/>
        </w:rPr>
        <w:t>#</w:t>
      </w:r>
      <w:r>
        <w:rPr>
          <w:iCs/>
          <w:szCs w:val="20"/>
        </w:rPr>
        <w:t>86</w:t>
      </w:r>
      <w:r w:rsidR="00766685">
        <w:rPr>
          <w:iCs/>
          <w:szCs w:val="20"/>
        </w:rPr>
        <w:t>, Aug 2016</w:t>
      </w:r>
      <w:bookmarkEnd w:id="12"/>
    </w:p>
    <w:p w:rsidR="00391673" w:rsidRDefault="00391673" w:rsidP="00A569A4">
      <w:pPr>
        <w:rPr>
          <w:iCs/>
        </w:rPr>
      </w:pPr>
    </w:p>
    <w:sectPr w:rsidR="00391673"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03C" w:rsidRDefault="00B1303C" w:rsidP="00FF0AAD">
      <w:r>
        <w:separator/>
      </w:r>
    </w:p>
  </w:endnote>
  <w:endnote w:type="continuationSeparator" w:id="0">
    <w:p w:rsidR="00B1303C" w:rsidRDefault="00B1303C"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77F26">
    <w:pPr>
      <w:pStyle w:val="Footer"/>
      <w:framePr w:wrap="around" w:vAnchor="text" w:hAnchor="margin" w:xAlign="right" w:y="1"/>
      <w:rPr>
        <w:rStyle w:val="PageNumber"/>
      </w:rPr>
    </w:pPr>
    <w:r>
      <w:rPr>
        <w:rStyle w:val="PageNumber"/>
      </w:rPr>
      <w:fldChar w:fldCharType="begin"/>
    </w:r>
    <w:r w:rsidR="00EE01E9">
      <w:rPr>
        <w:rStyle w:val="PageNumber"/>
      </w:rPr>
      <w:instrText xml:space="preserve">PAGE  </w:instrText>
    </w:r>
    <w:r>
      <w:rPr>
        <w:rStyle w:val="PageNumber"/>
      </w:rPr>
      <w:fldChar w:fldCharType="end"/>
    </w:r>
  </w:p>
  <w:p w:rsidR="00EE01E9" w:rsidRDefault="00EE01E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03C" w:rsidRDefault="00B1303C" w:rsidP="00FF0AAD">
      <w:r>
        <w:separator/>
      </w:r>
    </w:p>
  </w:footnote>
  <w:footnote w:type="continuationSeparator" w:id="0">
    <w:p w:rsidR="00B1303C" w:rsidRDefault="00B1303C"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716DB"/>
    <w:multiLevelType w:val="hybridMultilevel"/>
    <w:tmpl w:val="28F6B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BD45D1D"/>
    <w:multiLevelType w:val="hybridMultilevel"/>
    <w:tmpl w:val="3162C1AE"/>
    <w:lvl w:ilvl="0" w:tplc="04090003">
      <w:start w:val="1"/>
      <w:numFmt w:val="bullet"/>
      <w:lvlText w:val=""/>
      <w:lvlJc w:val="left"/>
      <w:pPr>
        <w:ind w:left="420" w:hanging="420"/>
      </w:pPr>
      <w:rPr>
        <w:rFonts w:ascii="Wingdings" w:hAnsi="Wingdings" w:hint="default"/>
      </w:rPr>
    </w:lvl>
    <w:lvl w:ilvl="1" w:tplc="7C762C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B1757E5"/>
    <w:multiLevelType w:val="multilevel"/>
    <w:tmpl w:val="F3CC6C46"/>
    <w:lvl w:ilvl="0">
      <w:start w:val="1"/>
      <w:numFmt w:val="decimal"/>
      <w:pStyle w:val="Heading1"/>
      <w:lvlText w:val="%1"/>
      <w:lvlJc w:val="left"/>
      <w:pPr>
        <w:ind w:left="432" w:hanging="432"/>
      </w:pPr>
      <w:rPr>
        <w:lang w:val="en-GB"/>
      </w:r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
  </w:num>
  <w:num w:numId="3">
    <w:abstractNumId w:val="6"/>
  </w:num>
  <w:num w:numId="4">
    <w:abstractNumId w:val="4"/>
  </w:num>
  <w:num w:numId="5">
    <w:abstractNumId w:val="9"/>
  </w:num>
  <w:num w:numId="6">
    <w:abstractNumId w:val="15"/>
  </w:num>
  <w:num w:numId="7">
    <w:abstractNumId w:val="10"/>
  </w:num>
  <w:num w:numId="8">
    <w:abstractNumId w:val="7"/>
  </w:num>
  <w:num w:numId="9">
    <w:abstractNumId w:val="13"/>
  </w:num>
  <w:num w:numId="10">
    <w:abstractNumId w:val="5"/>
  </w:num>
  <w:num w:numId="11">
    <w:abstractNumId w:val="1"/>
  </w:num>
  <w:num w:numId="12">
    <w:abstractNumId w:val="12"/>
  </w:num>
  <w:num w:numId="13">
    <w:abstractNumId w:val="2"/>
  </w:num>
  <w:num w:numId="14">
    <w:abstractNumId w:val="11"/>
  </w:num>
  <w:num w:numId="15">
    <w:abstractNumId w:val="0"/>
  </w:num>
  <w:num w:numId="16">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7613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4089"/>
    <w:rsid w:val="00006104"/>
    <w:rsid w:val="00007324"/>
    <w:rsid w:val="00013836"/>
    <w:rsid w:val="0001696F"/>
    <w:rsid w:val="0002444D"/>
    <w:rsid w:val="0002451B"/>
    <w:rsid w:val="00027F39"/>
    <w:rsid w:val="000314BE"/>
    <w:rsid w:val="00034917"/>
    <w:rsid w:val="00035233"/>
    <w:rsid w:val="0003612C"/>
    <w:rsid w:val="00037E77"/>
    <w:rsid w:val="000411C0"/>
    <w:rsid w:val="0004434E"/>
    <w:rsid w:val="00047CE1"/>
    <w:rsid w:val="00052635"/>
    <w:rsid w:val="00053328"/>
    <w:rsid w:val="0005454F"/>
    <w:rsid w:val="00054E54"/>
    <w:rsid w:val="00055C73"/>
    <w:rsid w:val="00060E49"/>
    <w:rsid w:val="000650EB"/>
    <w:rsid w:val="00065756"/>
    <w:rsid w:val="00065D03"/>
    <w:rsid w:val="00065E37"/>
    <w:rsid w:val="0007080B"/>
    <w:rsid w:val="00070EBD"/>
    <w:rsid w:val="0007267F"/>
    <w:rsid w:val="0007415F"/>
    <w:rsid w:val="00075E59"/>
    <w:rsid w:val="00083F98"/>
    <w:rsid w:val="00086A29"/>
    <w:rsid w:val="00091B52"/>
    <w:rsid w:val="00092939"/>
    <w:rsid w:val="00095947"/>
    <w:rsid w:val="000A27B9"/>
    <w:rsid w:val="000A2EBC"/>
    <w:rsid w:val="000A3053"/>
    <w:rsid w:val="000A537C"/>
    <w:rsid w:val="000B2582"/>
    <w:rsid w:val="000B5B33"/>
    <w:rsid w:val="000B6778"/>
    <w:rsid w:val="000B7610"/>
    <w:rsid w:val="000B7D5B"/>
    <w:rsid w:val="000C1E08"/>
    <w:rsid w:val="000C31CE"/>
    <w:rsid w:val="000C4889"/>
    <w:rsid w:val="000C4A2E"/>
    <w:rsid w:val="000D537B"/>
    <w:rsid w:val="000D65D7"/>
    <w:rsid w:val="000D793E"/>
    <w:rsid w:val="000E67AD"/>
    <w:rsid w:val="000F06B4"/>
    <w:rsid w:val="000F5BB6"/>
    <w:rsid w:val="000F7D41"/>
    <w:rsid w:val="0010212F"/>
    <w:rsid w:val="001072DE"/>
    <w:rsid w:val="00112AC8"/>
    <w:rsid w:val="00113893"/>
    <w:rsid w:val="00116121"/>
    <w:rsid w:val="00126145"/>
    <w:rsid w:val="00127D7C"/>
    <w:rsid w:val="001321AE"/>
    <w:rsid w:val="00136836"/>
    <w:rsid w:val="001400FD"/>
    <w:rsid w:val="00143E06"/>
    <w:rsid w:val="001442F6"/>
    <w:rsid w:val="00145121"/>
    <w:rsid w:val="00146958"/>
    <w:rsid w:val="0014740A"/>
    <w:rsid w:val="001477A7"/>
    <w:rsid w:val="00151481"/>
    <w:rsid w:val="00152A1F"/>
    <w:rsid w:val="00161014"/>
    <w:rsid w:val="001649A2"/>
    <w:rsid w:val="00171139"/>
    <w:rsid w:val="001721E6"/>
    <w:rsid w:val="001742D5"/>
    <w:rsid w:val="00174436"/>
    <w:rsid w:val="00175BFC"/>
    <w:rsid w:val="001767E6"/>
    <w:rsid w:val="0018036E"/>
    <w:rsid w:val="00180466"/>
    <w:rsid w:val="00182904"/>
    <w:rsid w:val="001841A8"/>
    <w:rsid w:val="00185733"/>
    <w:rsid w:val="00190A8D"/>
    <w:rsid w:val="00194BDB"/>
    <w:rsid w:val="00196645"/>
    <w:rsid w:val="00197C9B"/>
    <w:rsid w:val="001A183B"/>
    <w:rsid w:val="001A2CC4"/>
    <w:rsid w:val="001A5421"/>
    <w:rsid w:val="001B21A1"/>
    <w:rsid w:val="001B2CDE"/>
    <w:rsid w:val="001B6A89"/>
    <w:rsid w:val="001C05BA"/>
    <w:rsid w:val="001C06FA"/>
    <w:rsid w:val="001C3DF5"/>
    <w:rsid w:val="001C70D1"/>
    <w:rsid w:val="001D19AE"/>
    <w:rsid w:val="001D3953"/>
    <w:rsid w:val="001D5260"/>
    <w:rsid w:val="001D5936"/>
    <w:rsid w:val="001D5F96"/>
    <w:rsid w:val="001D6048"/>
    <w:rsid w:val="001E0A05"/>
    <w:rsid w:val="001E4BAF"/>
    <w:rsid w:val="001F1686"/>
    <w:rsid w:val="00220CE0"/>
    <w:rsid w:val="00221120"/>
    <w:rsid w:val="00221CE3"/>
    <w:rsid w:val="00233288"/>
    <w:rsid w:val="002333B7"/>
    <w:rsid w:val="002363A9"/>
    <w:rsid w:val="00244D42"/>
    <w:rsid w:val="0024567E"/>
    <w:rsid w:val="00247311"/>
    <w:rsid w:val="002519B7"/>
    <w:rsid w:val="00251B10"/>
    <w:rsid w:val="00251E7C"/>
    <w:rsid w:val="002530C6"/>
    <w:rsid w:val="002566F6"/>
    <w:rsid w:val="00261D2D"/>
    <w:rsid w:val="002632B0"/>
    <w:rsid w:val="0026410D"/>
    <w:rsid w:val="002643B3"/>
    <w:rsid w:val="00267558"/>
    <w:rsid w:val="0026790F"/>
    <w:rsid w:val="00272467"/>
    <w:rsid w:val="0027255D"/>
    <w:rsid w:val="00272995"/>
    <w:rsid w:val="00273A29"/>
    <w:rsid w:val="00274312"/>
    <w:rsid w:val="00274701"/>
    <w:rsid w:val="002764F5"/>
    <w:rsid w:val="00277174"/>
    <w:rsid w:val="0027765B"/>
    <w:rsid w:val="00283F82"/>
    <w:rsid w:val="00285137"/>
    <w:rsid w:val="00286313"/>
    <w:rsid w:val="0029127B"/>
    <w:rsid w:val="002938A5"/>
    <w:rsid w:val="00295775"/>
    <w:rsid w:val="002960F4"/>
    <w:rsid w:val="002973B9"/>
    <w:rsid w:val="002974D4"/>
    <w:rsid w:val="002A2FA8"/>
    <w:rsid w:val="002A3E5A"/>
    <w:rsid w:val="002A54A2"/>
    <w:rsid w:val="002B09BE"/>
    <w:rsid w:val="002B40F3"/>
    <w:rsid w:val="002B4D7C"/>
    <w:rsid w:val="002B66F7"/>
    <w:rsid w:val="002B6BAA"/>
    <w:rsid w:val="002C09CF"/>
    <w:rsid w:val="002C368B"/>
    <w:rsid w:val="002C370A"/>
    <w:rsid w:val="002C7B26"/>
    <w:rsid w:val="002D02D4"/>
    <w:rsid w:val="002D10A8"/>
    <w:rsid w:val="002D35FA"/>
    <w:rsid w:val="002D6B6C"/>
    <w:rsid w:val="002E1730"/>
    <w:rsid w:val="002E4C97"/>
    <w:rsid w:val="002E794D"/>
    <w:rsid w:val="002F0126"/>
    <w:rsid w:val="002F2E32"/>
    <w:rsid w:val="002F2FF2"/>
    <w:rsid w:val="002F3759"/>
    <w:rsid w:val="002F5517"/>
    <w:rsid w:val="0030521F"/>
    <w:rsid w:val="00305AC4"/>
    <w:rsid w:val="00310A97"/>
    <w:rsid w:val="00312C1A"/>
    <w:rsid w:val="00312DD1"/>
    <w:rsid w:val="00313E5D"/>
    <w:rsid w:val="00314AFF"/>
    <w:rsid w:val="0031570F"/>
    <w:rsid w:val="003162A2"/>
    <w:rsid w:val="00317EFF"/>
    <w:rsid w:val="00320818"/>
    <w:rsid w:val="00321462"/>
    <w:rsid w:val="00323413"/>
    <w:rsid w:val="00325B3A"/>
    <w:rsid w:val="0032685D"/>
    <w:rsid w:val="0033176D"/>
    <w:rsid w:val="00337150"/>
    <w:rsid w:val="003376DE"/>
    <w:rsid w:val="0034399E"/>
    <w:rsid w:val="00346CE0"/>
    <w:rsid w:val="003504B5"/>
    <w:rsid w:val="003533A7"/>
    <w:rsid w:val="00360683"/>
    <w:rsid w:val="003631E5"/>
    <w:rsid w:val="0037351C"/>
    <w:rsid w:val="00377306"/>
    <w:rsid w:val="0038320D"/>
    <w:rsid w:val="00384580"/>
    <w:rsid w:val="0038630E"/>
    <w:rsid w:val="00390C3C"/>
    <w:rsid w:val="00391673"/>
    <w:rsid w:val="003946D4"/>
    <w:rsid w:val="003952C6"/>
    <w:rsid w:val="003A0CBF"/>
    <w:rsid w:val="003A1F6D"/>
    <w:rsid w:val="003A2A06"/>
    <w:rsid w:val="003A2B41"/>
    <w:rsid w:val="003A3800"/>
    <w:rsid w:val="003A6500"/>
    <w:rsid w:val="003B3883"/>
    <w:rsid w:val="003B40ED"/>
    <w:rsid w:val="003B46C8"/>
    <w:rsid w:val="003B5CF4"/>
    <w:rsid w:val="003C361A"/>
    <w:rsid w:val="003C3674"/>
    <w:rsid w:val="003C3FCC"/>
    <w:rsid w:val="003C70DA"/>
    <w:rsid w:val="003D192B"/>
    <w:rsid w:val="003D2D35"/>
    <w:rsid w:val="003D3730"/>
    <w:rsid w:val="003D4CBE"/>
    <w:rsid w:val="003E61E9"/>
    <w:rsid w:val="003F28BC"/>
    <w:rsid w:val="003F448B"/>
    <w:rsid w:val="003F546E"/>
    <w:rsid w:val="003F58F6"/>
    <w:rsid w:val="003F5936"/>
    <w:rsid w:val="003F6622"/>
    <w:rsid w:val="004000BE"/>
    <w:rsid w:val="004019E1"/>
    <w:rsid w:val="004043F0"/>
    <w:rsid w:val="0040477F"/>
    <w:rsid w:val="00406D9A"/>
    <w:rsid w:val="004074BD"/>
    <w:rsid w:val="00411AA7"/>
    <w:rsid w:val="00412643"/>
    <w:rsid w:val="00412AFA"/>
    <w:rsid w:val="00413229"/>
    <w:rsid w:val="004137FF"/>
    <w:rsid w:val="004147B5"/>
    <w:rsid w:val="00414D93"/>
    <w:rsid w:val="00415412"/>
    <w:rsid w:val="00415723"/>
    <w:rsid w:val="00420162"/>
    <w:rsid w:val="0042159B"/>
    <w:rsid w:val="004216FB"/>
    <w:rsid w:val="00425DF0"/>
    <w:rsid w:val="004265A0"/>
    <w:rsid w:val="00427917"/>
    <w:rsid w:val="0043128D"/>
    <w:rsid w:val="00435AD0"/>
    <w:rsid w:val="00441AA1"/>
    <w:rsid w:val="00446005"/>
    <w:rsid w:val="00446AE1"/>
    <w:rsid w:val="0046088D"/>
    <w:rsid w:val="00461C5A"/>
    <w:rsid w:val="0046454E"/>
    <w:rsid w:val="004656EE"/>
    <w:rsid w:val="00466A01"/>
    <w:rsid w:val="0048006F"/>
    <w:rsid w:val="00487887"/>
    <w:rsid w:val="00496761"/>
    <w:rsid w:val="00496C3B"/>
    <w:rsid w:val="004A767C"/>
    <w:rsid w:val="004B0201"/>
    <w:rsid w:val="004B77E3"/>
    <w:rsid w:val="004C1005"/>
    <w:rsid w:val="004C145A"/>
    <w:rsid w:val="004C2BE7"/>
    <w:rsid w:val="004C46E1"/>
    <w:rsid w:val="004C5861"/>
    <w:rsid w:val="004C63EE"/>
    <w:rsid w:val="004C6A8B"/>
    <w:rsid w:val="004D10DB"/>
    <w:rsid w:val="004D15BB"/>
    <w:rsid w:val="004D1EE6"/>
    <w:rsid w:val="004D28B9"/>
    <w:rsid w:val="004D4A9C"/>
    <w:rsid w:val="004D6142"/>
    <w:rsid w:val="004E3641"/>
    <w:rsid w:val="004E72AC"/>
    <w:rsid w:val="004E78E8"/>
    <w:rsid w:val="004F02A2"/>
    <w:rsid w:val="004F033B"/>
    <w:rsid w:val="004F5036"/>
    <w:rsid w:val="004F7FEA"/>
    <w:rsid w:val="00501BD7"/>
    <w:rsid w:val="00504BCA"/>
    <w:rsid w:val="00506A83"/>
    <w:rsid w:val="0051029C"/>
    <w:rsid w:val="00515626"/>
    <w:rsid w:val="00521828"/>
    <w:rsid w:val="005253C8"/>
    <w:rsid w:val="005274F3"/>
    <w:rsid w:val="00530886"/>
    <w:rsid w:val="00532C95"/>
    <w:rsid w:val="00532D9C"/>
    <w:rsid w:val="005363C8"/>
    <w:rsid w:val="005377EA"/>
    <w:rsid w:val="00542AB0"/>
    <w:rsid w:val="005458B9"/>
    <w:rsid w:val="00546B13"/>
    <w:rsid w:val="00546E97"/>
    <w:rsid w:val="00546F7A"/>
    <w:rsid w:val="0055427D"/>
    <w:rsid w:val="00555AFA"/>
    <w:rsid w:val="005573A0"/>
    <w:rsid w:val="00557A2B"/>
    <w:rsid w:val="005623CB"/>
    <w:rsid w:val="00565697"/>
    <w:rsid w:val="00566C02"/>
    <w:rsid w:val="00570FDA"/>
    <w:rsid w:val="005756EB"/>
    <w:rsid w:val="00576940"/>
    <w:rsid w:val="00580ED6"/>
    <w:rsid w:val="005836A9"/>
    <w:rsid w:val="00585079"/>
    <w:rsid w:val="00587377"/>
    <w:rsid w:val="00593496"/>
    <w:rsid w:val="0059566C"/>
    <w:rsid w:val="00596953"/>
    <w:rsid w:val="005A0289"/>
    <w:rsid w:val="005A22CF"/>
    <w:rsid w:val="005A330A"/>
    <w:rsid w:val="005B000C"/>
    <w:rsid w:val="005B11AE"/>
    <w:rsid w:val="005B15D8"/>
    <w:rsid w:val="005B3EF1"/>
    <w:rsid w:val="005C15A0"/>
    <w:rsid w:val="005D0C96"/>
    <w:rsid w:val="005D2AC4"/>
    <w:rsid w:val="005D680C"/>
    <w:rsid w:val="005E0C4B"/>
    <w:rsid w:val="005E2AE9"/>
    <w:rsid w:val="005E30A0"/>
    <w:rsid w:val="005F0BCE"/>
    <w:rsid w:val="005F34F7"/>
    <w:rsid w:val="005F56A6"/>
    <w:rsid w:val="006012C6"/>
    <w:rsid w:val="00602802"/>
    <w:rsid w:val="00613EFD"/>
    <w:rsid w:val="00617630"/>
    <w:rsid w:val="00620346"/>
    <w:rsid w:val="0062638D"/>
    <w:rsid w:val="00631039"/>
    <w:rsid w:val="0063642D"/>
    <w:rsid w:val="0064325B"/>
    <w:rsid w:val="00656384"/>
    <w:rsid w:val="006653D4"/>
    <w:rsid w:val="00665A64"/>
    <w:rsid w:val="00666E6D"/>
    <w:rsid w:val="00667F6E"/>
    <w:rsid w:val="00671904"/>
    <w:rsid w:val="006722CE"/>
    <w:rsid w:val="00672F59"/>
    <w:rsid w:val="00675CA7"/>
    <w:rsid w:val="00676281"/>
    <w:rsid w:val="00677524"/>
    <w:rsid w:val="00677F9F"/>
    <w:rsid w:val="006858F5"/>
    <w:rsid w:val="00690BB8"/>
    <w:rsid w:val="0069278C"/>
    <w:rsid w:val="00695394"/>
    <w:rsid w:val="00696B73"/>
    <w:rsid w:val="0069708A"/>
    <w:rsid w:val="006A185C"/>
    <w:rsid w:val="006A4230"/>
    <w:rsid w:val="006A42F6"/>
    <w:rsid w:val="006A6E0F"/>
    <w:rsid w:val="006B41DF"/>
    <w:rsid w:val="006B48F1"/>
    <w:rsid w:val="006B769A"/>
    <w:rsid w:val="006C04A5"/>
    <w:rsid w:val="006C2467"/>
    <w:rsid w:val="006C60A2"/>
    <w:rsid w:val="006C62C3"/>
    <w:rsid w:val="006C7454"/>
    <w:rsid w:val="006D4C4D"/>
    <w:rsid w:val="006D512F"/>
    <w:rsid w:val="006D52EC"/>
    <w:rsid w:val="006D7A36"/>
    <w:rsid w:val="006D7CA8"/>
    <w:rsid w:val="006E1950"/>
    <w:rsid w:val="006E5253"/>
    <w:rsid w:val="006E6B9A"/>
    <w:rsid w:val="006F0247"/>
    <w:rsid w:val="006F5508"/>
    <w:rsid w:val="007004BA"/>
    <w:rsid w:val="00701EF9"/>
    <w:rsid w:val="007048C3"/>
    <w:rsid w:val="00712655"/>
    <w:rsid w:val="007129A0"/>
    <w:rsid w:val="0072152D"/>
    <w:rsid w:val="00726156"/>
    <w:rsid w:val="00732383"/>
    <w:rsid w:val="00732E84"/>
    <w:rsid w:val="00733BDE"/>
    <w:rsid w:val="00737957"/>
    <w:rsid w:val="0074454D"/>
    <w:rsid w:val="00745EC5"/>
    <w:rsid w:val="007477F6"/>
    <w:rsid w:val="00757C50"/>
    <w:rsid w:val="00760049"/>
    <w:rsid w:val="00760131"/>
    <w:rsid w:val="007612C7"/>
    <w:rsid w:val="0076369E"/>
    <w:rsid w:val="0076531B"/>
    <w:rsid w:val="00765BB9"/>
    <w:rsid w:val="00766685"/>
    <w:rsid w:val="00766C46"/>
    <w:rsid w:val="00771468"/>
    <w:rsid w:val="00772D0C"/>
    <w:rsid w:val="00773E97"/>
    <w:rsid w:val="0077447E"/>
    <w:rsid w:val="00776813"/>
    <w:rsid w:val="00784191"/>
    <w:rsid w:val="0078762A"/>
    <w:rsid w:val="007911DF"/>
    <w:rsid w:val="00791A5D"/>
    <w:rsid w:val="00793203"/>
    <w:rsid w:val="0079666E"/>
    <w:rsid w:val="0079669E"/>
    <w:rsid w:val="00796A2A"/>
    <w:rsid w:val="007A12CD"/>
    <w:rsid w:val="007A2A69"/>
    <w:rsid w:val="007A2D26"/>
    <w:rsid w:val="007A412D"/>
    <w:rsid w:val="007A483A"/>
    <w:rsid w:val="007B2FC9"/>
    <w:rsid w:val="007B546D"/>
    <w:rsid w:val="007B7386"/>
    <w:rsid w:val="007C33E4"/>
    <w:rsid w:val="007D3894"/>
    <w:rsid w:val="007D6595"/>
    <w:rsid w:val="007D6632"/>
    <w:rsid w:val="007E04D4"/>
    <w:rsid w:val="007E09CE"/>
    <w:rsid w:val="007E267A"/>
    <w:rsid w:val="007E5CF8"/>
    <w:rsid w:val="007E771D"/>
    <w:rsid w:val="007F3EF2"/>
    <w:rsid w:val="007F5F6D"/>
    <w:rsid w:val="00800989"/>
    <w:rsid w:val="008010A5"/>
    <w:rsid w:val="00801948"/>
    <w:rsid w:val="00804085"/>
    <w:rsid w:val="00804288"/>
    <w:rsid w:val="0080661D"/>
    <w:rsid w:val="00810367"/>
    <w:rsid w:val="00813CD3"/>
    <w:rsid w:val="0081518A"/>
    <w:rsid w:val="00815E75"/>
    <w:rsid w:val="00816F96"/>
    <w:rsid w:val="00823E65"/>
    <w:rsid w:val="008244E5"/>
    <w:rsid w:val="008251AD"/>
    <w:rsid w:val="00827CC3"/>
    <w:rsid w:val="008339F9"/>
    <w:rsid w:val="00834916"/>
    <w:rsid w:val="00836840"/>
    <w:rsid w:val="00840AB6"/>
    <w:rsid w:val="00842222"/>
    <w:rsid w:val="00842E23"/>
    <w:rsid w:val="00846CBF"/>
    <w:rsid w:val="00846F7E"/>
    <w:rsid w:val="00846FAB"/>
    <w:rsid w:val="00853251"/>
    <w:rsid w:val="00865089"/>
    <w:rsid w:val="00870BF0"/>
    <w:rsid w:val="00870FE7"/>
    <w:rsid w:val="00872250"/>
    <w:rsid w:val="00872C28"/>
    <w:rsid w:val="00873AB8"/>
    <w:rsid w:val="008742DF"/>
    <w:rsid w:val="00881A67"/>
    <w:rsid w:val="00882EA3"/>
    <w:rsid w:val="00886503"/>
    <w:rsid w:val="00893B8E"/>
    <w:rsid w:val="0089421F"/>
    <w:rsid w:val="008A068F"/>
    <w:rsid w:val="008A0730"/>
    <w:rsid w:val="008A1ED0"/>
    <w:rsid w:val="008A2594"/>
    <w:rsid w:val="008A34A6"/>
    <w:rsid w:val="008A4707"/>
    <w:rsid w:val="008A5053"/>
    <w:rsid w:val="008B1D3B"/>
    <w:rsid w:val="008B48B5"/>
    <w:rsid w:val="008B6FB7"/>
    <w:rsid w:val="008C2ADD"/>
    <w:rsid w:val="008C4EB6"/>
    <w:rsid w:val="008C6181"/>
    <w:rsid w:val="008D2554"/>
    <w:rsid w:val="008D401D"/>
    <w:rsid w:val="008E0206"/>
    <w:rsid w:val="008E27D5"/>
    <w:rsid w:val="008E3CFC"/>
    <w:rsid w:val="008E75AB"/>
    <w:rsid w:val="008E7BF4"/>
    <w:rsid w:val="008F0F45"/>
    <w:rsid w:val="008F5E84"/>
    <w:rsid w:val="0090352C"/>
    <w:rsid w:val="0090427E"/>
    <w:rsid w:val="00910604"/>
    <w:rsid w:val="00911EFD"/>
    <w:rsid w:val="00915D34"/>
    <w:rsid w:val="00916155"/>
    <w:rsid w:val="0092252D"/>
    <w:rsid w:val="00931C9D"/>
    <w:rsid w:val="00932248"/>
    <w:rsid w:val="00932BEF"/>
    <w:rsid w:val="00934221"/>
    <w:rsid w:val="0093734D"/>
    <w:rsid w:val="009402E9"/>
    <w:rsid w:val="00940CD2"/>
    <w:rsid w:val="00941CE6"/>
    <w:rsid w:val="009433CB"/>
    <w:rsid w:val="0095082C"/>
    <w:rsid w:val="009529FD"/>
    <w:rsid w:val="009560D1"/>
    <w:rsid w:val="0095756A"/>
    <w:rsid w:val="0096003B"/>
    <w:rsid w:val="00960C1D"/>
    <w:rsid w:val="009628AF"/>
    <w:rsid w:val="00971496"/>
    <w:rsid w:val="00971DDC"/>
    <w:rsid w:val="0097265A"/>
    <w:rsid w:val="00972F70"/>
    <w:rsid w:val="009745AB"/>
    <w:rsid w:val="0098107D"/>
    <w:rsid w:val="009829B8"/>
    <w:rsid w:val="00991070"/>
    <w:rsid w:val="00991963"/>
    <w:rsid w:val="00992608"/>
    <w:rsid w:val="00992DCD"/>
    <w:rsid w:val="0099660F"/>
    <w:rsid w:val="0099686B"/>
    <w:rsid w:val="009B2AA7"/>
    <w:rsid w:val="009B5573"/>
    <w:rsid w:val="009C1507"/>
    <w:rsid w:val="009C22D6"/>
    <w:rsid w:val="009C3C71"/>
    <w:rsid w:val="009C6143"/>
    <w:rsid w:val="009D03F9"/>
    <w:rsid w:val="009D2D92"/>
    <w:rsid w:val="009D4E27"/>
    <w:rsid w:val="009D7EE2"/>
    <w:rsid w:val="009E0835"/>
    <w:rsid w:val="009E26D4"/>
    <w:rsid w:val="009E27A5"/>
    <w:rsid w:val="009E2BBA"/>
    <w:rsid w:val="009E748B"/>
    <w:rsid w:val="009F1051"/>
    <w:rsid w:val="009F14C0"/>
    <w:rsid w:val="009F35E1"/>
    <w:rsid w:val="009F5202"/>
    <w:rsid w:val="009F740A"/>
    <w:rsid w:val="00A044DF"/>
    <w:rsid w:val="00A0761C"/>
    <w:rsid w:val="00A07D64"/>
    <w:rsid w:val="00A105CD"/>
    <w:rsid w:val="00A12673"/>
    <w:rsid w:val="00A127DC"/>
    <w:rsid w:val="00A16D4F"/>
    <w:rsid w:val="00A22250"/>
    <w:rsid w:val="00A22F3F"/>
    <w:rsid w:val="00A237B2"/>
    <w:rsid w:val="00A24CCA"/>
    <w:rsid w:val="00A24F87"/>
    <w:rsid w:val="00A279D4"/>
    <w:rsid w:val="00A31718"/>
    <w:rsid w:val="00A34767"/>
    <w:rsid w:val="00A41397"/>
    <w:rsid w:val="00A4219D"/>
    <w:rsid w:val="00A515D6"/>
    <w:rsid w:val="00A52561"/>
    <w:rsid w:val="00A52FC5"/>
    <w:rsid w:val="00A53FC5"/>
    <w:rsid w:val="00A540F3"/>
    <w:rsid w:val="00A54F01"/>
    <w:rsid w:val="00A55F27"/>
    <w:rsid w:val="00A569A4"/>
    <w:rsid w:val="00A57168"/>
    <w:rsid w:val="00A61D8A"/>
    <w:rsid w:val="00A62B1A"/>
    <w:rsid w:val="00A67EEB"/>
    <w:rsid w:val="00A71B6A"/>
    <w:rsid w:val="00A71BD4"/>
    <w:rsid w:val="00A74A34"/>
    <w:rsid w:val="00A76243"/>
    <w:rsid w:val="00A762D5"/>
    <w:rsid w:val="00A773F5"/>
    <w:rsid w:val="00A805A8"/>
    <w:rsid w:val="00A80B01"/>
    <w:rsid w:val="00A93646"/>
    <w:rsid w:val="00A945E2"/>
    <w:rsid w:val="00A95088"/>
    <w:rsid w:val="00A95E61"/>
    <w:rsid w:val="00A9638F"/>
    <w:rsid w:val="00AA2D50"/>
    <w:rsid w:val="00AA3CA4"/>
    <w:rsid w:val="00AB1474"/>
    <w:rsid w:val="00AB14EA"/>
    <w:rsid w:val="00AB4EFA"/>
    <w:rsid w:val="00AC0547"/>
    <w:rsid w:val="00AC2BD8"/>
    <w:rsid w:val="00AC4276"/>
    <w:rsid w:val="00AC4AAA"/>
    <w:rsid w:val="00AC5A41"/>
    <w:rsid w:val="00AC7216"/>
    <w:rsid w:val="00AC7B40"/>
    <w:rsid w:val="00AD0C4F"/>
    <w:rsid w:val="00AD5E2B"/>
    <w:rsid w:val="00AE052F"/>
    <w:rsid w:val="00AE107A"/>
    <w:rsid w:val="00AE26C5"/>
    <w:rsid w:val="00AE2DC7"/>
    <w:rsid w:val="00AE3567"/>
    <w:rsid w:val="00AE4706"/>
    <w:rsid w:val="00AE6AE8"/>
    <w:rsid w:val="00AE775A"/>
    <w:rsid w:val="00AE7C57"/>
    <w:rsid w:val="00AF1A64"/>
    <w:rsid w:val="00AF3B2C"/>
    <w:rsid w:val="00B0011F"/>
    <w:rsid w:val="00B03B2F"/>
    <w:rsid w:val="00B03BCC"/>
    <w:rsid w:val="00B07901"/>
    <w:rsid w:val="00B1029B"/>
    <w:rsid w:val="00B107DB"/>
    <w:rsid w:val="00B12666"/>
    <w:rsid w:val="00B1303C"/>
    <w:rsid w:val="00B139DE"/>
    <w:rsid w:val="00B22638"/>
    <w:rsid w:val="00B243F4"/>
    <w:rsid w:val="00B26DD1"/>
    <w:rsid w:val="00B31627"/>
    <w:rsid w:val="00B32C30"/>
    <w:rsid w:val="00B35602"/>
    <w:rsid w:val="00B37427"/>
    <w:rsid w:val="00B46077"/>
    <w:rsid w:val="00B53008"/>
    <w:rsid w:val="00B55FA9"/>
    <w:rsid w:val="00B56B1F"/>
    <w:rsid w:val="00B578C5"/>
    <w:rsid w:val="00B60DCF"/>
    <w:rsid w:val="00B614DE"/>
    <w:rsid w:val="00B65DD6"/>
    <w:rsid w:val="00B7179B"/>
    <w:rsid w:val="00B72D05"/>
    <w:rsid w:val="00B74D2B"/>
    <w:rsid w:val="00B76024"/>
    <w:rsid w:val="00B816F5"/>
    <w:rsid w:val="00B8395C"/>
    <w:rsid w:val="00B83E85"/>
    <w:rsid w:val="00B86BDA"/>
    <w:rsid w:val="00B87244"/>
    <w:rsid w:val="00B87640"/>
    <w:rsid w:val="00B90B58"/>
    <w:rsid w:val="00B929ED"/>
    <w:rsid w:val="00B93518"/>
    <w:rsid w:val="00B95008"/>
    <w:rsid w:val="00B96941"/>
    <w:rsid w:val="00BA1C72"/>
    <w:rsid w:val="00BA48BD"/>
    <w:rsid w:val="00BB27A1"/>
    <w:rsid w:val="00BB6344"/>
    <w:rsid w:val="00BB7F12"/>
    <w:rsid w:val="00BC0F95"/>
    <w:rsid w:val="00BC2EC5"/>
    <w:rsid w:val="00BC7EBC"/>
    <w:rsid w:val="00BD1F36"/>
    <w:rsid w:val="00BD285A"/>
    <w:rsid w:val="00BD4AC8"/>
    <w:rsid w:val="00BE28E3"/>
    <w:rsid w:val="00BE2A35"/>
    <w:rsid w:val="00BE2E7D"/>
    <w:rsid w:val="00BE3E7A"/>
    <w:rsid w:val="00BE5FC7"/>
    <w:rsid w:val="00BE6F58"/>
    <w:rsid w:val="00BF4E61"/>
    <w:rsid w:val="00C02F16"/>
    <w:rsid w:val="00C0321E"/>
    <w:rsid w:val="00C062F6"/>
    <w:rsid w:val="00C115D4"/>
    <w:rsid w:val="00C128A6"/>
    <w:rsid w:val="00C16D62"/>
    <w:rsid w:val="00C16D9C"/>
    <w:rsid w:val="00C24204"/>
    <w:rsid w:val="00C24819"/>
    <w:rsid w:val="00C2603E"/>
    <w:rsid w:val="00C30640"/>
    <w:rsid w:val="00C3079E"/>
    <w:rsid w:val="00C31E59"/>
    <w:rsid w:val="00C37773"/>
    <w:rsid w:val="00C42297"/>
    <w:rsid w:val="00C50168"/>
    <w:rsid w:val="00C516B7"/>
    <w:rsid w:val="00C51DF5"/>
    <w:rsid w:val="00C53622"/>
    <w:rsid w:val="00C54982"/>
    <w:rsid w:val="00C66B5A"/>
    <w:rsid w:val="00C76818"/>
    <w:rsid w:val="00C76D29"/>
    <w:rsid w:val="00C84E8E"/>
    <w:rsid w:val="00C86B68"/>
    <w:rsid w:val="00C93EDD"/>
    <w:rsid w:val="00C953EF"/>
    <w:rsid w:val="00C97311"/>
    <w:rsid w:val="00CA59E3"/>
    <w:rsid w:val="00CA7B1E"/>
    <w:rsid w:val="00CB325C"/>
    <w:rsid w:val="00CB50E9"/>
    <w:rsid w:val="00CB5B9C"/>
    <w:rsid w:val="00CB6FB3"/>
    <w:rsid w:val="00CC0088"/>
    <w:rsid w:val="00CC0223"/>
    <w:rsid w:val="00CC39FD"/>
    <w:rsid w:val="00CC4701"/>
    <w:rsid w:val="00CD2A33"/>
    <w:rsid w:val="00CE1B6E"/>
    <w:rsid w:val="00CE4DE5"/>
    <w:rsid w:val="00CF356A"/>
    <w:rsid w:val="00CF54D0"/>
    <w:rsid w:val="00D00BD8"/>
    <w:rsid w:val="00D02F5A"/>
    <w:rsid w:val="00D04B88"/>
    <w:rsid w:val="00D12160"/>
    <w:rsid w:val="00D14440"/>
    <w:rsid w:val="00D15C08"/>
    <w:rsid w:val="00D15E25"/>
    <w:rsid w:val="00D216C0"/>
    <w:rsid w:val="00D255E2"/>
    <w:rsid w:val="00D25CA2"/>
    <w:rsid w:val="00D26398"/>
    <w:rsid w:val="00D273EF"/>
    <w:rsid w:val="00D2780E"/>
    <w:rsid w:val="00D32A1B"/>
    <w:rsid w:val="00D3302E"/>
    <w:rsid w:val="00D36153"/>
    <w:rsid w:val="00D4164B"/>
    <w:rsid w:val="00D4409B"/>
    <w:rsid w:val="00D462B9"/>
    <w:rsid w:val="00D51AB5"/>
    <w:rsid w:val="00D53D01"/>
    <w:rsid w:val="00D56DBA"/>
    <w:rsid w:val="00D62003"/>
    <w:rsid w:val="00D673E0"/>
    <w:rsid w:val="00D70674"/>
    <w:rsid w:val="00D70E68"/>
    <w:rsid w:val="00D722E4"/>
    <w:rsid w:val="00D72F23"/>
    <w:rsid w:val="00D743AA"/>
    <w:rsid w:val="00D76E1B"/>
    <w:rsid w:val="00D8248D"/>
    <w:rsid w:val="00D82A53"/>
    <w:rsid w:val="00D83034"/>
    <w:rsid w:val="00D85273"/>
    <w:rsid w:val="00D9131C"/>
    <w:rsid w:val="00D93AC6"/>
    <w:rsid w:val="00D93B0C"/>
    <w:rsid w:val="00D96FEA"/>
    <w:rsid w:val="00DA12AB"/>
    <w:rsid w:val="00DA5597"/>
    <w:rsid w:val="00DB7760"/>
    <w:rsid w:val="00DC0B63"/>
    <w:rsid w:val="00DC254A"/>
    <w:rsid w:val="00DD34F8"/>
    <w:rsid w:val="00DD646B"/>
    <w:rsid w:val="00DD71A4"/>
    <w:rsid w:val="00DD785D"/>
    <w:rsid w:val="00DE0E67"/>
    <w:rsid w:val="00DE0E7D"/>
    <w:rsid w:val="00DE115E"/>
    <w:rsid w:val="00DE31A3"/>
    <w:rsid w:val="00DE75BE"/>
    <w:rsid w:val="00DF25FD"/>
    <w:rsid w:val="00DF65B2"/>
    <w:rsid w:val="00E0055C"/>
    <w:rsid w:val="00E00801"/>
    <w:rsid w:val="00E0278A"/>
    <w:rsid w:val="00E03A4D"/>
    <w:rsid w:val="00E051E3"/>
    <w:rsid w:val="00E05567"/>
    <w:rsid w:val="00E07960"/>
    <w:rsid w:val="00E1495E"/>
    <w:rsid w:val="00E14F87"/>
    <w:rsid w:val="00E153F6"/>
    <w:rsid w:val="00E16B26"/>
    <w:rsid w:val="00E20171"/>
    <w:rsid w:val="00E21195"/>
    <w:rsid w:val="00E2201C"/>
    <w:rsid w:val="00E27BC1"/>
    <w:rsid w:val="00E35457"/>
    <w:rsid w:val="00E4164A"/>
    <w:rsid w:val="00E41DF3"/>
    <w:rsid w:val="00E43842"/>
    <w:rsid w:val="00E4509B"/>
    <w:rsid w:val="00E45E9A"/>
    <w:rsid w:val="00E4633B"/>
    <w:rsid w:val="00E47699"/>
    <w:rsid w:val="00E47AE4"/>
    <w:rsid w:val="00E52E3C"/>
    <w:rsid w:val="00E53CC2"/>
    <w:rsid w:val="00E569C1"/>
    <w:rsid w:val="00E631F7"/>
    <w:rsid w:val="00E733CF"/>
    <w:rsid w:val="00E77CC4"/>
    <w:rsid w:val="00E77F26"/>
    <w:rsid w:val="00E91BDE"/>
    <w:rsid w:val="00E94061"/>
    <w:rsid w:val="00E943EE"/>
    <w:rsid w:val="00E95BF2"/>
    <w:rsid w:val="00EA5B9D"/>
    <w:rsid w:val="00EA78B0"/>
    <w:rsid w:val="00EB01FD"/>
    <w:rsid w:val="00EB0370"/>
    <w:rsid w:val="00EB7215"/>
    <w:rsid w:val="00EC162F"/>
    <w:rsid w:val="00EC363B"/>
    <w:rsid w:val="00ED2C69"/>
    <w:rsid w:val="00EE01E9"/>
    <w:rsid w:val="00EE5769"/>
    <w:rsid w:val="00EE6CB7"/>
    <w:rsid w:val="00EE77BE"/>
    <w:rsid w:val="00F001B4"/>
    <w:rsid w:val="00F00FAE"/>
    <w:rsid w:val="00F01A21"/>
    <w:rsid w:val="00F04054"/>
    <w:rsid w:val="00F12B39"/>
    <w:rsid w:val="00F149C9"/>
    <w:rsid w:val="00F15DDF"/>
    <w:rsid w:val="00F15E62"/>
    <w:rsid w:val="00F22144"/>
    <w:rsid w:val="00F3054A"/>
    <w:rsid w:val="00F313F6"/>
    <w:rsid w:val="00F34BB3"/>
    <w:rsid w:val="00F40065"/>
    <w:rsid w:val="00F40454"/>
    <w:rsid w:val="00F40727"/>
    <w:rsid w:val="00F43013"/>
    <w:rsid w:val="00F45F35"/>
    <w:rsid w:val="00F57C13"/>
    <w:rsid w:val="00F63609"/>
    <w:rsid w:val="00F7227E"/>
    <w:rsid w:val="00F8225E"/>
    <w:rsid w:val="00F924D8"/>
    <w:rsid w:val="00F95E35"/>
    <w:rsid w:val="00F97602"/>
    <w:rsid w:val="00FA10BA"/>
    <w:rsid w:val="00FA6853"/>
    <w:rsid w:val="00FA70BF"/>
    <w:rsid w:val="00FB1555"/>
    <w:rsid w:val="00FB3FE0"/>
    <w:rsid w:val="00FB412A"/>
    <w:rsid w:val="00FB7DA0"/>
    <w:rsid w:val="00FC093A"/>
    <w:rsid w:val="00FC4E76"/>
    <w:rsid w:val="00FC7B21"/>
    <w:rsid w:val="00FD6B97"/>
    <w:rsid w:val="00FD6FB0"/>
    <w:rsid w:val="00FD738C"/>
    <w:rsid w:val="00FE206D"/>
    <w:rsid w:val="00FE2656"/>
    <w:rsid w:val="00FE2682"/>
    <w:rsid w:val="00FE5A94"/>
    <w:rsid w:val="00FF0AAD"/>
    <w:rsid w:val="00FF2308"/>
    <w:rsid w:val="00FF44E6"/>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7613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FA5B3A-55AF-450A-9DDA-93A8C27ED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2423</TotalTime>
  <Pages>3</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patricksvedman</cp:lastModifiedBy>
  <cp:revision>97</cp:revision>
  <cp:lastPrinted>2113-01-01T00:00:00Z</cp:lastPrinted>
  <dcterms:created xsi:type="dcterms:W3CDTF">2016-08-01T01:41:00Z</dcterms:created>
  <dcterms:modified xsi:type="dcterms:W3CDTF">2016-08-12T12:14:00Z</dcterms:modified>
</cp:coreProperties>
</file>